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val="0"/>
        <w:snapToGrid w:val="0"/>
        <w:spacing w:line="560" w:lineRule="exact"/>
        <w:rPr>
          <w:rFonts w:hAnsi="宋体" w:cs="Times New Roman"/>
          <w:color w:val="000000"/>
          <w:szCs w:val="32"/>
        </w:rPr>
      </w:pPr>
    </w:p>
    <w:p>
      <w:pPr>
        <w:widowControl w:val="0"/>
        <w:adjustRightInd w:val="0"/>
        <w:snapToGrid w:val="0"/>
        <w:spacing w:line="560" w:lineRule="exact"/>
        <w:rPr>
          <w:rFonts w:hAnsi="宋体" w:cs="Times New Roman"/>
          <w:color w:val="000000"/>
          <w:szCs w:val="32"/>
        </w:rPr>
      </w:pPr>
    </w:p>
    <w:p>
      <w:pPr>
        <w:widowControl w:val="0"/>
        <w:adjustRightInd w:val="0"/>
        <w:snapToGrid w:val="0"/>
        <w:spacing w:line="560" w:lineRule="exact"/>
        <w:rPr>
          <w:rFonts w:ascii="宋体" w:hAnsi="宋体" w:eastAsia="宋体" w:cs="Times New Roman"/>
          <w:color w:val="000000"/>
          <w:sz w:val="44"/>
          <w:szCs w:val="44"/>
        </w:rPr>
      </w:pPr>
      <w:r>
        <w:rPr>
          <w:rFonts w:hint="eastAsia" w:ascii="宋体" w:hAnsi="宋体" w:eastAsia="宋体" w:cs="Times New Roman"/>
          <w:color w:val="000000"/>
          <w:sz w:val="44"/>
          <w:szCs w:val="44"/>
        </w:rPr>
        <w:t>宜昌市城区建筑物外立面管理条例</w:t>
      </w:r>
    </w:p>
    <w:p>
      <w:pPr>
        <w:widowControl w:val="0"/>
        <w:adjustRightInd w:val="0"/>
        <w:snapToGrid w:val="0"/>
        <w:spacing w:line="560" w:lineRule="exact"/>
        <w:rPr>
          <w:rFonts w:hint="eastAsia" w:hAnsi="Calibri" w:cs="Times New Roman"/>
          <w:color w:val="000000"/>
          <w:szCs w:val="32"/>
        </w:rPr>
      </w:pPr>
    </w:p>
    <w:p>
      <w:pPr>
        <w:widowControl w:val="0"/>
        <w:snapToGrid w:val="0"/>
        <w:spacing w:line="560" w:lineRule="exact"/>
        <w:ind w:left="632" w:leftChars="200" w:right="632" w:rightChars="200"/>
        <w:rPr>
          <w:rFonts w:hint="eastAsia" w:ascii="楷体_GB2312" w:hAnsi="楷体" w:eastAsia="楷体_GB2312" w:cs="Times New Roman"/>
          <w:color w:val="000000"/>
          <w:kern w:val="0"/>
          <w:szCs w:val="32"/>
        </w:rPr>
      </w:pPr>
      <w:r>
        <w:rPr>
          <w:rFonts w:hint="eastAsia" w:ascii="楷体_GB2312" w:hAnsi="楷体" w:eastAsia="楷体_GB2312" w:cs="Times New Roman"/>
          <w:color w:val="000000"/>
          <w:kern w:val="0"/>
          <w:szCs w:val="32"/>
          <w:lang w:eastAsia="zh-CN"/>
        </w:rPr>
        <w:t>（</w:t>
      </w:r>
      <w:r>
        <w:rPr>
          <w:rFonts w:hint="eastAsia" w:ascii="楷体_GB2312" w:hAnsi="楷体" w:eastAsia="楷体_GB2312" w:cs="Times New Roman"/>
          <w:color w:val="000000"/>
          <w:kern w:val="0"/>
          <w:szCs w:val="32"/>
        </w:rPr>
        <w:t>2016年11月30日宜昌市第五届人民代表大会常务委员会第三十六次会议通过  2017年3月30日湖北省第十二届人民代表大会常务委员会第二十七次会议批准</w:t>
      </w:r>
      <w:r>
        <w:rPr>
          <w:rFonts w:hint="eastAsia" w:ascii="楷体_GB2312" w:hAnsi="楷体" w:eastAsia="楷体_GB2312" w:cs="Times New Roman"/>
          <w:color w:val="000000"/>
          <w:kern w:val="0"/>
          <w:szCs w:val="32"/>
          <w:lang w:eastAsia="zh-CN"/>
        </w:rPr>
        <w:t>）</w:t>
      </w:r>
      <w:bookmarkStart w:id="0" w:name="_GoBack"/>
      <w:bookmarkEnd w:id="0"/>
    </w:p>
    <w:p>
      <w:pPr>
        <w:widowControl w:val="0"/>
        <w:snapToGrid w:val="0"/>
        <w:spacing w:line="580" w:lineRule="exact"/>
        <w:ind w:left="632" w:leftChars="200" w:right="632" w:rightChars="200"/>
        <w:rPr>
          <w:rFonts w:hint="eastAsia" w:ascii="楷体_GB2312" w:hAnsi="楷体" w:eastAsia="楷体_GB2312" w:cs="Times New Roman"/>
          <w:color w:val="000000"/>
          <w:kern w:val="0"/>
          <w:szCs w:val="32"/>
        </w:rPr>
      </w:pP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ascii="黑体" w:hAnsi="黑体" w:eastAsia="黑体" w:cs="Times New Roman"/>
          <w:color w:val="000000"/>
          <w:szCs w:val="32"/>
        </w:rPr>
        <w:t xml:space="preserve">第一条  </w:t>
      </w:r>
      <w:r>
        <w:rPr>
          <w:rFonts w:hint="eastAsia" w:hAnsi="仿宋" w:cs="Times New Roman"/>
          <w:color w:val="000000"/>
          <w:szCs w:val="32"/>
        </w:rPr>
        <w:t>为了加强宜昌市城区建筑物外立面管理，创造整洁、优美的城市环境，根据《中华人民共和国城乡规划法》、《城市市容和环境卫生管理条例》、《湖北省城市市容和环境卫生管理条例》等法律、法规，结合本市实际，制定本条例。</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ascii="黑体" w:hAnsi="黑体" w:eastAsia="黑体" w:cs="Times New Roman"/>
          <w:color w:val="000000"/>
          <w:szCs w:val="32"/>
        </w:rPr>
        <w:t xml:space="preserve">第二条  </w:t>
      </w:r>
      <w:r>
        <w:rPr>
          <w:rFonts w:hint="eastAsia" w:hAnsi="仿宋" w:cs="Times New Roman"/>
          <w:color w:val="000000"/>
          <w:szCs w:val="32"/>
        </w:rPr>
        <w:t>本市城区范围内建筑物外立面的维护、改造、利用及其管理，适用本条例。</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ascii="黑体" w:hAnsi="黑体" w:eastAsia="黑体" w:cs="Times New Roman"/>
          <w:color w:val="000000"/>
          <w:szCs w:val="32"/>
        </w:rPr>
        <w:t xml:space="preserve">第三条  </w:t>
      </w:r>
      <w:r>
        <w:rPr>
          <w:rFonts w:hint="eastAsia" w:hAnsi="仿宋" w:cs="Times New Roman"/>
          <w:color w:val="000000"/>
          <w:szCs w:val="32"/>
        </w:rPr>
        <w:t>本条例所称建筑物外立面，是指建筑物、构筑物和其他设施的外侧立面以及建筑物屋顶。</w:t>
      </w:r>
    </w:p>
    <w:p>
      <w:pPr>
        <w:widowControl w:val="0"/>
        <w:adjustRightInd w:val="0"/>
        <w:snapToGrid w:val="0"/>
        <w:spacing w:line="560" w:lineRule="exact"/>
        <w:ind w:firstLine="632" w:firstLineChars="200"/>
        <w:jc w:val="both"/>
        <w:rPr>
          <w:rFonts w:hint="eastAsia" w:hAnsi="仿宋" w:cs="Times New Roman"/>
          <w:strike/>
          <w:color w:val="000000"/>
          <w:kern w:val="0"/>
          <w:szCs w:val="32"/>
        </w:rPr>
      </w:pPr>
      <w:r>
        <w:rPr>
          <w:rFonts w:hint="eastAsia" w:ascii="黑体" w:hAnsi="黑体" w:eastAsia="黑体" w:cs="Times New Roman"/>
          <w:color w:val="000000"/>
          <w:szCs w:val="32"/>
        </w:rPr>
        <w:t xml:space="preserve">第四条  </w:t>
      </w:r>
      <w:r>
        <w:rPr>
          <w:rFonts w:hint="eastAsia" w:hAnsi="仿宋" w:cs="Times New Roman"/>
          <w:color w:val="000000"/>
          <w:szCs w:val="32"/>
        </w:rPr>
        <w:t>市、区人民政府</w:t>
      </w:r>
      <w:r>
        <w:rPr>
          <w:rFonts w:hint="eastAsia" w:hAnsi="仿宋" w:cs="Times New Roman"/>
          <w:color w:val="000000"/>
          <w:kern w:val="0"/>
          <w:szCs w:val="32"/>
        </w:rPr>
        <w:t>城市管理主管部门负责本辖区建筑物外立面的监督管理工作。</w:t>
      </w:r>
    </w:p>
    <w:p>
      <w:pPr>
        <w:widowControl w:val="0"/>
        <w:adjustRightInd w:val="0"/>
        <w:snapToGrid w:val="0"/>
        <w:spacing w:line="560" w:lineRule="exact"/>
        <w:ind w:firstLine="630"/>
        <w:jc w:val="both"/>
        <w:rPr>
          <w:rFonts w:hint="eastAsia" w:hAnsi="仿宋" w:cs="Times New Roman"/>
          <w:color w:val="000000"/>
          <w:szCs w:val="32"/>
        </w:rPr>
      </w:pPr>
      <w:r>
        <w:rPr>
          <w:rFonts w:hint="eastAsia" w:hAnsi="仿宋" w:cs="Times New Roman"/>
          <w:color w:val="000000"/>
          <w:szCs w:val="32"/>
        </w:rPr>
        <w:t>市、区人民政府住房和城乡建设、规划、房产管理、国土资源、公安等部门</w:t>
      </w:r>
      <w:r>
        <w:rPr>
          <w:rFonts w:hint="eastAsia" w:hAnsi="仿宋" w:cs="Times New Roman"/>
          <w:szCs w:val="32"/>
        </w:rPr>
        <w:t>，依照法定职责协同做好本辖区</w:t>
      </w:r>
      <w:r>
        <w:rPr>
          <w:rFonts w:hint="eastAsia" w:hAnsi="仿宋" w:cs="Times New Roman"/>
          <w:color w:val="000000"/>
          <w:szCs w:val="32"/>
        </w:rPr>
        <w:t>建筑物外立面的监督管理工作。</w:t>
      </w:r>
    </w:p>
    <w:p>
      <w:pPr>
        <w:widowControl w:val="0"/>
        <w:adjustRightInd w:val="0"/>
        <w:snapToGrid w:val="0"/>
        <w:spacing w:line="560" w:lineRule="exact"/>
        <w:ind w:firstLine="630"/>
        <w:jc w:val="both"/>
        <w:rPr>
          <w:rFonts w:hint="eastAsia" w:hAnsi="仿宋" w:cs="Times New Roman"/>
          <w:color w:val="000000"/>
          <w:szCs w:val="32"/>
        </w:rPr>
      </w:pPr>
      <w:r>
        <w:rPr>
          <w:rFonts w:hint="eastAsia" w:ascii="黑体" w:hAnsi="黑体" w:eastAsia="黑体" w:cs="Times New Roman"/>
          <w:color w:val="000000"/>
          <w:szCs w:val="32"/>
        </w:rPr>
        <w:t xml:space="preserve">第五条  </w:t>
      </w:r>
      <w:r>
        <w:rPr>
          <w:rFonts w:hint="eastAsia" w:hAnsi="仿宋" w:cs="Times New Roman"/>
          <w:color w:val="000000"/>
          <w:szCs w:val="32"/>
        </w:rPr>
        <w:t>对本市城区主要街道两侧建筑物外立面和重点地区临街建筑物外立面实施重点监督管理。主要街道和重点地区的范围，由市人民政府城市管理主管部门会同各区人民政府划定，报市人民政府批准后向社会公布。</w:t>
      </w:r>
    </w:p>
    <w:p>
      <w:pPr>
        <w:widowControl w:val="0"/>
        <w:adjustRightInd w:val="0"/>
        <w:snapToGrid w:val="0"/>
        <w:spacing w:line="560" w:lineRule="exact"/>
        <w:ind w:firstLine="645"/>
        <w:jc w:val="both"/>
        <w:rPr>
          <w:rFonts w:hint="eastAsia" w:hAnsi="仿宋" w:cs="Times New Roman"/>
          <w:color w:val="000000"/>
          <w:szCs w:val="32"/>
        </w:rPr>
      </w:pPr>
      <w:r>
        <w:rPr>
          <w:rFonts w:hint="eastAsia" w:ascii="黑体" w:hAnsi="黑体" w:eastAsia="黑体" w:cs="Times New Roman"/>
          <w:color w:val="000000"/>
          <w:szCs w:val="32"/>
        </w:rPr>
        <w:t xml:space="preserve">第六条  </w:t>
      </w:r>
      <w:r>
        <w:rPr>
          <w:rFonts w:hint="eastAsia" w:hAnsi="仿宋" w:cs="Times New Roman"/>
          <w:color w:val="000000"/>
          <w:szCs w:val="32"/>
        </w:rPr>
        <w:t>市人民政府城市管理主管部门应当会同有关部门，根据《中华人民共和国城市容貌标准》以及本市相关城市规划，制定本市城市容貌规划和标准，并包含有建筑物外立面容貌标准，报市人民政府批准后公布实施。</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ascii="黑体" w:hAnsi="黑体" w:eastAsia="黑体" w:cs="Times New Roman"/>
          <w:color w:val="000000"/>
          <w:szCs w:val="32"/>
        </w:rPr>
        <w:t xml:space="preserve">第七条  </w:t>
      </w:r>
      <w:r>
        <w:rPr>
          <w:rFonts w:hint="eastAsia" w:hAnsi="仿宋" w:cs="Times New Roman"/>
          <w:color w:val="000000"/>
          <w:szCs w:val="32"/>
        </w:rPr>
        <w:t>对建筑物外立面进行装饰装修，改变建筑物外立面原有的主体色调、造型和设计风格的，应当提供设计方案，并征求市人民政府规划主管部门的意见。</w:t>
      </w:r>
    </w:p>
    <w:p>
      <w:pPr>
        <w:widowControl w:val="0"/>
        <w:adjustRightInd w:val="0"/>
        <w:snapToGrid w:val="0"/>
        <w:spacing w:line="560" w:lineRule="exact"/>
        <w:ind w:firstLine="632" w:firstLineChars="200"/>
        <w:jc w:val="both"/>
        <w:rPr>
          <w:rFonts w:hint="eastAsia" w:hAnsi="仿宋" w:cs="Times New Roman"/>
          <w:color w:val="000000"/>
          <w:kern w:val="0"/>
          <w:szCs w:val="32"/>
        </w:rPr>
      </w:pPr>
      <w:r>
        <w:rPr>
          <w:rFonts w:hint="eastAsia" w:ascii="黑体" w:hAnsi="黑体" w:eastAsia="黑体" w:cs="Times New Roman"/>
          <w:color w:val="000000"/>
          <w:szCs w:val="32"/>
        </w:rPr>
        <w:t xml:space="preserve">第八条  </w:t>
      </w:r>
      <w:r>
        <w:rPr>
          <w:rFonts w:hint="eastAsia" w:hAnsi="仿宋" w:cs="Times New Roman"/>
          <w:color w:val="000000"/>
          <w:szCs w:val="32"/>
        </w:rPr>
        <w:t>对本市城区建筑物外立面实施成片区统一改造的，组织实施单位应当向市人民政府规划主管部门提供符合本市相关城市规划和城市容貌标准的设计方案</w:t>
      </w:r>
      <w:r>
        <w:rPr>
          <w:rFonts w:hint="eastAsia" w:hAnsi="仿宋" w:cs="Times New Roman"/>
          <w:color w:val="000000"/>
          <w:kern w:val="0"/>
          <w:szCs w:val="32"/>
        </w:rPr>
        <w:t>。</w:t>
      </w:r>
    </w:p>
    <w:p>
      <w:pPr>
        <w:widowControl w:val="0"/>
        <w:adjustRightInd w:val="0"/>
        <w:snapToGrid w:val="0"/>
        <w:spacing w:line="560" w:lineRule="exact"/>
        <w:ind w:firstLine="632" w:firstLineChars="200"/>
        <w:jc w:val="both"/>
        <w:rPr>
          <w:rFonts w:hint="eastAsia" w:hAnsi="仿宋" w:cs="Times New Roman"/>
          <w:color w:val="000000"/>
          <w:kern w:val="0"/>
          <w:szCs w:val="32"/>
        </w:rPr>
      </w:pPr>
      <w:r>
        <w:rPr>
          <w:rFonts w:hint="eastAsia" w:ascii="黑体" w:hAnsi="黑体" w:eastAsia="黑体" w:cs="Times New Roman"/>
          <w:color w:val="000000"/>
          <w:szCs w:val="32"/>
        </w:rPr>
        <w:t xml:space="preserve">第九条  </w:t>
      </w:r>
      <w:r>
        <w:rPr>
          <w:rFonts w:hint="eastAsia" w:hAnsi="仿宋" w:cs="Times New Roman"/>
          <w:color w:val="000000"/>
          <w:kern w:val="0"/>
          <w:szCs w:val="32"/>
        </w:rPr>
        <w:t>利用建筑物外立面设置户外广告设施的，应当</w:t>
      </w:r>
      <w:r>
        <w:rPr>
          <w:rFonts w:hint="eastAsia" w:hAnsi="仿宋" w:cs="Times New Roman"/>
          <w:color w:val="000000"/>
          <w:szCs w:val="32"/>
        </w:rPr>
        <w:t>符合本市城区户外广告设施设置规划，并按照规定的要求设置。</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hAnsi="仿宋" w:cs="Times New Roman"/>
          <w:color w:val="000000"/>
          <w:kern w:val="0"/>
          <w:szCs w:val="32"/>
        </w:rPr>
        <w:t>利用建筑物外立面设置</w:t>
      </w:r>
      <w:r>
        <w:rPr>
          <w:rFonts w:hint="eastAsia" w:hAnsi="仿宋" w:cs="Times New Roman"/>
          <w:color w:val="000000"/>
          <w:szCs w:val="32"/>
        </w:rPr>
        <w:t>用于表示单位名称、字号、商号的标牌、招牌、匾额等标识的，应当符合本市城市容貌标准。</w:t>
      </w:r>
    </w:p>
    <w:p>
      <w:pPr>
        <w:widowControl w:val="0"/>
        <w:adjustRightInd w:val="0"/>
        <w:snapToGrid w:val="0"/>
        <w:spacing w:line="560" w:lineRule="exact"/>
        <w:ind w:firstLine="632" w:firstLineChars="200"/>
        <w:jc w:val="both"/>
        <w:rPr>
          <w:rFonts w:hint="eastAsia" w:hAnsi="仿宋" w:cs="Times New Roman"/>
          <w:color w:val="000000"/>
          <w:kern w:val="0"/>
          <w:szCs w:val="32"/>
        </w:rPr>
      </w:pPr>
      <w:r>
        <w:rPr>
          <w:rFonts w:hint="eastAsia" w:ascii="黑体" w:hAnsi="黑体" w:eastAsia="黑体" w:cs="Times New Roman"/>
          <w:color w:val="000000"/>
          <w:szCs w:val="32"/>
        </w:rPr>
        <w:t xml:space="preserve">第十条  </w:t>
      </w:r>
      <w:r>
        <w:rPr>
          <w:rFonts w:hint="eastAsia" w:hAnsi="仿宋" w:cs="Times New Roman"/>
          <w:color w:val="000000"/>
          <w:kern w:val="0"/>
          <w:szCs w:val="32"/>
        </w:rPr>
        <w:t>利用建筑物外立面设置夜景灯光的，应当符合本市城区夜景灯光设置规划和本市城市容貌标准，并与</w:t>
      </w:r>
      <w:r>
        <w:rPr>
          <w:rFonts w:hint="eastAsia" w:hAnsi="仿宋" w:cs="Times New Roman"/>
          <w:color w:val="000000"/>
          <w:szCs w:val="32"/>
        </w:rPr>
        <w:t>建筑物外</w:t>
      </w:r>
      <w:r>
        <w:rPr>
          <w:rFonts w:hint="eastAsia" w:hAnsi="仿宋" w:cs="Times New Roman"/>
          <w:color w:val="000000"/>
          <w:kern w:val="0"/>
          <w:szCs w:val="32"/>
        </w:rPr>
        <w:t>立面整体景观相协调。</w:t>
      </w:r>
    </w:p>
    <w:p>
      <w:pPr>
        <w:widowControl w:val="0"/>
        <w:shd w:val="clear" w:color="auto" w:fill="FFFFFF"/>
        <w:adjustRightInd w:val="0"/>
        <w:snapToGrid w:val="0"/>
        <w:spacing w:line="560" w:lineRule="exact"/>
        <w:ind w:firstLine="632" w:firstLineChars="200"/>
        <w:jc w:val="both"/>
        <w:rPr>
          <w:rFonts w:hint="eastAsia" w:hAnsi="仿宋" w:cs="Times New Roman"/>
          <w:color w:val="000000"/>
          <w:szCs w:val="32"/>
        </w:rPr>
      </w:pPr>
      <w:r>
        <w:rPr>
          <w:rFonts w:hint="eastAsia" w:ascii="黑体" w:hAnsi="黑体" w:eastAsia="黑体" w:cs="Times New Roman"/>
          <w:color w:val="000000"/>
          <w:szCs w:val="32"/>
        </w:rPr>
        <w:t xml:space="preserve">第十一条  </w:t>
      </w:r>
      <w:r>
        <w:rPr>
          <w:rFonts w:hint="eastAsia" w:hAnsi="仿宋" w:cs="Times New Roman"/>
          <w:color w:val="000000"/>
          <w:szCs w:val="32"/>
        </w:rPr>
        <w:t>在建筑物外立面安装防盗防护设施、空调外机、遮阳棚、排气排烟设施、太阳能设施、封闭阳台和管线设施，实施绿化等，应当符合本市城市容貌标准，并保持其完好、整洁。</w:t>
      </w:r>
    </w:p>
    <w:p>
      <w:pPr>
        <w:widowControl w:val="0"/>
        <w:adjustRightInd w:val="0"/>
        <w:snapToGrid w:val="0"/>
        <w:spacing w:line="560" w:lineRule="exact"/>
        <w:ind w:firstLine="632" w:firstLineChars="200"/>
        <w:jc w:val="both"/>
        <w:rPr>
          <w:rFonts w:hint="eastAsia" w:ascii="楷体" w:hAnsi="楷体" w:eastAsia="楷体" w:cs="Times New Roman"/>
          <w:strike/>
          <w:color w:val="000000"/>
          <w:kern w:val="0"/>
          <w:szCs w:val="32"/>
        </w:rPr>
      </w:pPr>
      <w:r>
        <w:rPr>
          <w:rFonts w:hint="eastAsia" w:ascii="黑体" w:hAnsi="黑体" w:eastAsia="黑体" w:cs="Times New Roman"/>
          <w:color w:val="000000"/>
          <w:szCs w:val="32"/>
        </w:rPr>
        <w:t xml:space="preserve">第十二条  </w:t>
      </w:r>
      <w:r>
        <w:rPr>
          <w:rFonts w:hint="eastAsia" w:hAnsi="黑体" w:cs="Times New Roman"/>
          <w:color w:val="000000"/>
          <w:kern w:val="0"/>
          <w:szCs w:val="32"/>
          <w:shd w:val="clear" w:color="auto" w:fill="FFFFFF"/>
        </w:rPr>
        <w:t>建筑物、构筑物和其他设施的所有权人是建筑物外立面</w:t>
      </w:r>
      <w:r>
        <w:rPr>
          <w:rFonts w:hint="eastAsia" w:hAnsi="仿宋" w:cs="Times New Roman"/>
          <w:color w:val="000000"/>
          <w:szCs w:val="32"/>
        </w:rPr>
        <w:t>的维</w:t>
      </w:r>
      <w:r>
        <w:rPr>
          <w:rFonts w:hint="eastAsia" w:hAnsi="黑体" w:cs="Times New Roman"/>
          <w:color w:val="000000"/>
          <w:kern w:val="0"/>
          <w:szCs w:val="32"/>
          <w:shd w:val="clear" w:color="auto" w:fill="FFFFFF"/>
        </w:rPr>
        <w:t>护管理责任人。</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hAnsi="仿宋" w:cs="Times New Roman"/>
          <w:color w:val="000000"/>
          <w:szCs w:val="32"/>
        </w:rPr>
        <w:t>建筑物外立面的维护管理责任人还包括下列单位：</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hAnsi="仿宋" w:cs="Times New Roman"/>
          <w:color w:val="000000"/>
          <w:szCs w:val="32"/>
        </w:rPr>
        <w:t>（一）建筑物、构筑物所在实行物业管理住宅区的物业服务企业；</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hAnsi="仿宋" w:cs="Times New Roman"/>
          <w:color w:val="000000"/>
          <w:szCs w:val="32"/>
        </w:rPr>
        <w:t>（二）建筑物、构筑物所在未实行物业管理住宅区所在地的街道办事处；</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hAnsi="仿宋" w:cs="Times New Roman"/>
          <w:color w:val="000000"/>
          <w:szCs w:val="32"/>
        </w:rPr>
        <w:t>（三）使用建筑物、构筑物的市场、商场、宾馆、饭店等商品交易或者服务场所的经营、管理单位；</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hAnsi="仿宋" w:cs="Times New Roman"/>
          <w:color w:val="000000"/>
          <w:szCs w:val="32"/>
        </w:rPr>
        <w:t>（四）建筑物、构筑物在其办公、生产区域内的机关、团体、企业事业单位；</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hAnsi="仿宋" w:cs="Times New Roman"/>
          <w:color w:val="000000"/>
          <w:szCs w:val="32"/>
        </w:rPr>
        <w:t>（五）城市公共设施和其他设施的经营、管理单位。</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hAnsi="仿宋" w:cs="Times New Roman"/>
          <w:color w:val="000000"/>
          <w:szCs w:val="32"/>
        </w:rPr>
        <w:t>建筑物、构筑物和其他设施的所有权人与管理人、使用人之间约定建筑物外立面的维护管理责任的，可以从其约定。</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hAnsi="仿宋" w:cs="Times New Roman"/>
          <w:color w:val="000000"/>
          <w:szCs w:val="32"/>
        </w:rPr>
        <w:t>按照以上规定，维护管理责任人仍不明确的，由市、区人民政府城市管理主管部门确定。</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ascii="黑体" w:hAnsi="黑体" w:eastAsia="黑体" w:cs="Times New Roman"/>
          <w:color w:val="000000"/>
          <w:szCs w:val="32"/>
        </w:rPr>
        <w:t xml:space="preserve">第十三条  </w:t>
      </w:r>
      <w:r>
        <w:rPr>
          <w:rFonts w:hint="eastAsia" w:hAnsi="仿宋" w:cs="Times New Roman"/>
          <w:color w:val="000000"/>
          <w:szCs w:val="32"/>
        </w:rPr>
        <w:t>建筑物外立面的维护管理责任人应当依照本市城市容貌标准对建筑物外立面进行维护管理，保持建筑物外立面的整洁、美观。</w:t>
      </w:r>
    </w:p>
    <w:p>
      <w:pPr>
        <w:widowControl w:val="0"/>
        <w:shd w:val="clear" w:color="auto" w:fill="FFFFFF"/>
        <w:adjustRightInd w:val="0"/>
        <w:snapToGrid w:val="0"/>
        <w:spacing w:line="560" w:lineRule="exact"/>
        <w:ind w:firstLine="632" w:firstLineChars="200"/>
        <w:jc w:val="both"/>
        <w:rPr>
          <w:rFonts w:hint="eastAsia" w:hAnsi="仿宋" w:cs="Times New Roman"/>
          <w:color w:val="000000"/>
          <w:szCs w:val="32"/>
        </w:rPr>
      </w:pPr>
      <w:r>
        <w:rPr>
          <w:rFonts w:hint="eastAsia" w:hAnsi="仿宋" w:cs="Times New Roman"/>
          <w:color w:val="000000"/>
          <w:szCs w:val="32"/>
        </w:rPr>
        <w:t>主要街道两侧建筑物外立面和重点地区临街建筑物外立面残损、变色、有明显污迹，严重影响城市容貌的，其维护管理责任人应当及时修补、粉刷、清洁。</w:t>
      </w:r>
    </w:p>
    <w:p>
      <w:pPr>
        <w:widowControl w:val="0"/>
        <w:shd w:val="clear" w:color="auto" w:fill="FFFFFF"/>
        <w:adjustRightInd w:val="0"/>
        <w:snapToGrid w:val="0"/>
        <w:spacing w:line="560" w:lineRule="exact"/>
        <w:ind w:firstLine="632" w:firstLineChars="200"/>
        <w:jc w:val="both"/>
        <w:rPr>
          <w:rFonts w:hint="eastAsia" w:hAnsi="仿宋" w:cs="Times New Roman"/>
          <w:color w:val="000000"/>
          <w:kern w:val="0"/>
          <w:szCs w:val="32"/>
          <w:shd w:val="clear" w:color="auto" w:fill="FFFFFF"/>
        </w:rPr>
      </w:pPr>
      <w:r>
        <w:rPr>
          <w:rFonts w:hint="eastAsia" w:ascii="黑体" w:hAnsi="黑体" w:eastAsia="黑体" w:cs="Times New Roman"/>
          <w:color w:val="000000"/>
          <w:szCs w:val="32"/>
        </w:rPr>
        <w:t xml:space="preserve">第十四条  </w:t>
      </w:r>
      <w:r>
        <w:rPr>
          <w:rFonts w:hint="eastAsia" w:hAnsi="仿宋" w:cs="Times New Roman"/>
          <w:color w:val="000000"/>
          <w:kern w:val="0"/>
          <w:szCs w:val="32"/>
          <w:shd w:val="clear" w:color="auto" w:fill="FFFFFF"/>
        </w:rPr>
        <w:t>任何单位和个人不得有下列行为：</w:t>
      </w:r>
    </w:p>
    <w:p>
      <w:pPr>
        <w:widowControl w:val="0"/>
        <w:shd w:val="clear" w:color="auto" w:fill="FFFFFF"/>
        <w:adjustRightInd w:val="0"/>
        <w:snapToGrid w:val="0"/>
        <w:spacing w:line="560" w:lineRule="exact"/>
        <w:ind w:firstLine="632" w:firstLineChars="200"/>
        <w:jc w:val="both"/>
        <w:rPr>
          <w:rFonts w:hint="eastAsia" w:hAnsi="仿宋" w:cs="Times New Roman"/>
          <w:color w:val="000000"/>
          <w:szCs w:val="32"/>
          <w:shd w:val="clear" w:color="auto" w:fill="FFFFFF"/>
        </w:rPr>
      </w:pPr>
      <w:r>
        <w:rPr>
          <w:rFonts w:hint="eastAsia" w:hAnsi="仿宋" w:cs="Times New Roman"/>
          <w:color w:val="000000"/>
          <w:szCs w:val="32"/>
          <w:shd w:val="clear" w:color="auto" w:fill="FFFFFF"/>
        </w:rPr>
        <w:t>（一）在本市城区主要街道两侧建筑物和重点地区临街建筑物的阳台外、窗外和屋顶吊挂、堆放</w:t>
      </w:r>
      <w:r>
        <w:rPr>
          <w:rFonts w:hint="eastAsia" w:hAnsi="仿宋" w:cs="Times New Roman"/>
          <w:color w:val="000000"/>
          <w:szCs w:val="32"/>
        </w:rPr>
        <w:t>有碍</w:t>
      </w:r>
      <w:r>
        <w:rPr>
          <w:rFonts w:hint="eastAsia" w:hAnsi="仿宋" w:cs="Times New Roman"/>
          <w:color w:val="000000"/>
          <w:szCs w:val="32"/>
          <w:shd w:val="clear" w:color="auto" w:fill="FFFFFF"/>
        </w:rPr>
        <w:t>市容的物品；</w:t>
      </w:r>
    </w:p>
    <w:p>
      <w:pPr>
        <w:widowControl w:val="0"/>
        <w:adjustRightInd w:val="0"/>
        <w:snapToGrid w:val="0"/>
        <w:spacing w:line="560" w:lineRule="exact"/>
        <w:ind w:firstLine="632" w:firstLineChars="200"/>
        <w:jc w:val="both"/>
        <w:rPr>
          <w:rFonts w:hint="eastAsia" w:hAnsi="仿宋" w:cs="Times New Roman"/>
          <w:color w:val="000000"/>
          <w:kern w:val="0"/>
          <w:szCs w:val="32"/>
          <w:shd w:val="clear" w:color="auto" w:fill="FFFFFF"/>
        </w:rPr>
      </w:pPr>
      <w:r>
        <w:rPr>
          <w:rFonts w:hint="eastAsia" w:hAnsi="仿宋" w:cs="Times New Roman"/>
          <w:color w:val="000000"/>
          <w:kern w:val="0"/>
          <w:szCs w:val="32"/>
          <w:shd w:val="clear" w:color="auto" w:fill="FFFFFF"/>
        </w:rPr>
        <w:t>（二）损坏、擅自拆除建筑物外立面统一设置的各类设施</w:t>
      </w:r>
      <w:r>
        <w:rPr>
          <w:rFonts w:hint="eastAsia" w:hAnsi="仿宋" w:cs="宋体"/>
          <w:color w:val="000000"/>
          <w:kern w:val="0"/>
          <w:szCs w:val="32"/>
          <w:shd w:val="clear" w:color="auto" w:fill="FFFFFF"/>
        </w:rPr>
        <w:t>或者改变其</w:t>
      </w:r>
      <w:r>
        <w:rPr>
          <w:rFonts w:hint="eastAsia" w:hAnsi="仿宋" w:cs="Times New Roman"/>
          <w:color w:val="000000"/>
          <w:kern w:val="0"/>
          <w:szCs w:val="32"/>
          <w:shd w:val="clear" w:color="auto" w:fill="FFFFFF"/>
        </w:rPr>
        <w:t>位置、规格、式样</w:t>
      </w:r>
      <w:r>
        <w:rPr>
          <w:rFonts w:hint="eastAsia" w:hAnsi="仿宋" w:cs="Times New Roman"/>
          <w:color w:val="000000"/>
          <w:szCs w:val="32"/>
        </w:rPr>
        <w:t>以</w:t>
      </w:r>
      <w:r>
        <w:rPr>
          <w:rFonts w:hint="eastAsia" w:hAnsi="仿宋" w:cs="Times New Roman"/>
          <w:color w:val="000000"/>
          <w:kern w:val="0"/>
          <w:szCs w:val="32"/>
          <w:shd w:val="clear" w:color="auto" w:fill="FFFFFF"/>
        </w:rPr>
        <w:t>及颜色；</w:t>
      </w:r>
    </w:p>
    <w:p>
      <w:pPr>
        <w:widowControl w:val="0"/>
        <w:shd w:val="clear" w:color="auto" w:fill="FFFFFF"/>
        <w:adjustRightInd w:val="0"/>
        <w:snapToGrid w:val="0"/>
        <w:spacing w:line="560" w:lineRule="exact"/>
        <w:ind w:firstLine="632" w:firstLineChars="200"/>
        <w:jc w:val="both"/>
        <w:rPr>
          <w:rFonts w:hint="eastAsia" w:hAnsi="仿宋" w:cs="Times New Roman"/>
          <w:color w:val="000000"/>
          <w:kern w:val="0"/>
          <w:szCs w:val="32"/>
          <w:shd w:val="clear" w:color="auto" w:fill="FFFFFF"/>
        </w:rPr>
      </w:pPr>
      <w:r>
        <w:rPr>
          <w:rFonts w:hint="eastAsia" w:hAnsi="仿宋" w:cs="Times New Roman"/>
          <w:smallCaps/>
          <w:color w:val="000000"/>
          <w:kern w:val="0"/>
          <w:szCs w:val="32"/>
          <w:shd w:val="clear" w:color="auto" w:fill="FFFFFF"/>
        </w:rPr>
        <w:t>（三）擅自</w:t>
      </w:r>
      <w:r>
        <w:rPr>
          <w:rFonts w:hint="eastAsia" w:hAnsi="仿宋" w:cs="宋体"/>
          <w:color w:val="000000"/>
          <w:kern w:val="0"/>
          <w:szCs w:val="32"/>
          <w:shd w:val="clear" w:color="auto" w:fill="FFFFFF"/>
        </w:rPr>
        <w:t>在建筑物外立面开门开窗，</w:t>
      </w:r>
      <w:r>
        <w:rPr>
          <w:rFonts w:hint="eastAsia" w:hAnsi="仿宋" w:cs="Times New Roman"/>
          <w:color w:val="000000"/>
          <w:kern w:val="0"/>
          <w:szCs w:val="32"/>
          <w:shd w:val="clear" w:color="auto" w:fill="FFFFFF"/>
        </w:rPr>
        <w:t>改设橱窗；</w:t>
      </w:r>
    </w:p>
    <w:p>
      <w:pPr>
        <w:widowControl w:val="0"/>
        <w:shd w:val="clear" w:color="auto" w:fill="FFFFFF"/>
        <w:adjustRightInd w:val="0"/>
        <w:snapToGrid w:val="0"/>
        <w:spacing w:line="560" w:lineRule="exact"/>
        <w:ind w:firstLine="632" w:firstLineChars="200"/>
        <w:jc w:val="both"/>
        <w:rPr>
          <w:rFonts w:hint="eastAsia" w:hAnsi="仿宋" w:cs="Times New Roman"/>
          <w:color w:val="000000"/>
          <w:szCs w:val="32"/>
        </w:rPr>
      </w:pPr>
      <w:r>
        <w:rPr>
          <w:rFonts w:hint="eastAsia" w:hAnsi="仿宋" w:cs="Times New Roman"/>
          <w:color w:val="000000"/>
          <w:szCs w:val="32"/>
        </w:rPr>
        <w:t>（四）擅自在建筑物外立面设置</w:t>
      </w:r>
      <w:r>
        <w:rPr>
          <w:rFonts w:hint="eastAsia" w:hAnsi="仿宋" w:cs="Times New Roman"/>
          <w:color w:val="000000"/>
          <w:kern w:val="0"/>
          <w:szCs w:val="32"/>
          <w:shd w:val="clear" w:color="auto" w:fill="FFFFFF"/>
        </w:rPr>
        <w:t>显示屏等</w:t>
      </w:r>
      <w:r>
        <w:rPr>
          <w:rFonts w:hint="eastAsia" w:hAnsi="仿宋" w:cs="宋体"/>
          <w:color w:val="000000"/>
          <w:kern w:val="0"/>
          <w:szCs w:val="32"/>
          <w:shd w:val="clear" w:color="auto" w:fill="FFFFFF"/>
        </w:rPr>
        <w:t>发光设施；</w:t>
      </w:r>
    </w:p>
    <w:p>
      <w:pPr>
        <w:widowControl w:val="0"/>
        <w:shd w:val="clear" w:color="auto" w:fill="FFFFFF"/>
        <w:adjustRightInd w:val="0"/>
        <w:snapToGrid w:val="0"/>
        <w:spacing w:line="560" w:lineRule="exact"/>
        <w:ind w:firstLine="632" w:firstLineChars="200"/>
        <w:jc w:val="both"/>
        <w:rPr>
          <w:rFonts w:hint="eastAsia" w:hAnsi="仿宋" w:cs="宋体"/>
          <w:color w:val="000000"/>
          <w:kern w:val="0"/>
          <w:szCs w:val="32"/>
          <w:shd w:val="clear" w:color="auto" w:fill="FFFFFF"/>
        </w:rPr>
      </w:pPr>
      <w:r>
        <w:rPr>
          <w:rFonts w:hint="eastAsia" w:hAnsi="仿宋" w:cs="Times New Roman"/>
          <w:color w:val="000000"/>
          <w:kern w:val="0"/>
          <w:szCs w:val="32"/>
          <w:shd w:val="clear" w:color="auto" w:fill="FFFFFF"/>
        </w:rPr>
        <w:t>（五）</w:t>
      </w:r>
      <w:r>
        <w:rPr>
          <w:rFonts w:hint="eastAsia" w:hAnsi="仿宋" w:cs="Times New Roman"/>
          <w:color w:val="000000"/>
          <w:szCs w:val="32"/>
        </w:rPr>
        <w:t>擅自在建筑物外立面涂写、刻画、张贴</w:t>
      </w:r>
      <w:r>
        <w:rPr>
          <w:rFonts w:hint="eastAsia" w:hAnsi="仿宋" w:cs="宋体"/>
          <w:color w:val="000000"/>
          <w:kern w:val="0"/>
          <w:szCs w:val="32"/>
          <w:shd w:val="clear" w:color="auto" w:fill="FFFFFF"/>
        </w:rPr>
        <w:t>；</w:t>
      </w:r>
    </w:p>
    <w:p>
      <w:pPr>
        <w:widowControl w:val="0"/>
        <w:shd w:val="clear" w:color="auto" w:fill="FFFFFF"/>
        <w:adjustRightInd w:val="0"/>
        <w:snapToGrid w:val="0"/>
        <w:spacing w:line="560" w:lineRule="exact"/>
        <w:ind w:firstLine="632" w:firstLineChars="200"/>
        <w:jc w:val="both"/>
        <w:rPr>
          <w:rFonts w:hint="eastAsia" w:hAnsi="仿宋" w:cs="宋体"/>
          <w:color w:val="000000"/>
          <w:kern w:val="0"/>
          <w:szCs w:val="32"/>
          <w:shd w:val="clear" w:color="auto" w:fill="FFFFFF"/>
        </w:rPr>
      </w:pPr>
      <w:r>
        <w:rPr>
          <w:rFonts w:hint="eastAsia" w:hAnsi="仿宋" w:cs="宋体"/>
          <w:color w:val="000000"/>
          <w:kern w:val="0"/>
          <w:szCs w:val="32"/>
          <w:shd w:val="clear" w:color="auto" w:fill="FFFFFF"/>
        </w:rPr>
        <w:t>（六）擅自在建筑物外立面搭建建筑物、构筑物；</w:t>
      </w:r>
    </w:p>
    <w:p>
      <w:pPr>
        <w:widowControl w:val="0"/>
        <w:shd w:val="clear" w:color="auto" w:fill="FFFFFF"/>
        <w:adjustRightInd w:val="0"/>
        <w:snapToGrid w:val="0"/>
        <w:spacing w:line="560" w:lineRule="exact"/>
        <w:ind w:firstLine="632" w:firstLineChars="200"/>
        <w:jc w:val="both"/>
        <w:rPr>
          <w:rFonts w:hint="eastAsia" w:hAnsi="仿宋" w:cs="Times New Roman"/>
          <w:color w:val="000000"/>
          <w:kern w:val="0"/>
          <w:szCs w:val="32"/>
          <w:shd w:val="clear" w:color="auto" w:fill="FFFFFF"/>
        </w:rPr>
      </w:pPr>
      <w:r>
        <w:rPr>
          <w:rFonts w:hint="eastAsia" w:hAnsi="仿宋" w:cs="宋体"/>
          <w:color w:val="000000"/>
          <w:kern w:val="0"/>
          <w:szCs w:val="32"/>
          <w:shd w:val="clear" w:color="auto" w:fill="FFFFFF"/>
        </w:rPr>
        <w:t>（七）</w:t>
      </w:r>
      <w:r>
        <w:rPr>
          <w:rFonts w:hint="eastAsia" w:hAnsi="仿宋" w:cs="Times New Roman"/>
          <w:color w:val="000000"/>
          <w:kern w:val="0"/>
          <w:szCs w:val="32"/>
          <w:shd w:val="clear" w:color="auto" w:fill="FFFFFF"/>
        </w:rPr>
        <w:t>其他违反</w:t>
      </w:r>
      <w:r>
        <w:rPr>
          <w:rFonts w:hint="eastAsia" w:hAnsi="仿宋" w:cs="宋体"/>
          <w:color w:val="000000"/>
          <w:kern w:val="0"/>
          <w:szCs w:val="32"/>
          <w:shd w:val="clear" w:color="auto" w:fill="FFFFFF"/>
        </w:rPr>
        <w:t>本市</w:t>
      </w:r>
      <w:r>
        <w:rPr>
          <w:rFonts w:hint="eastAsia" w:hAnsi="仿宋" w:cs="Times New Roman"/>
          <w:color w:val="000000"/>
          <w:kern w:val="0"/>
          <w:szCs w:val="32"/>
          <w:shd w:val="clear" w:color="auto" w:fill="FFFFFF"/>
        </w:rPr>
        <w:t>城市容貌标准的行为。</w:t>
      </w:r>
    </w:p>
    <w:p>
      <w:pPr>
        <w:widowControl w:val="0"/>
        <w:shd w:val="clear" w:color="auto" w:fill="FFFFFF"/>
        <w:adjustRightInd w:val="0"/>
        <w:snapToGrid w:val="0"/>
        <w:spacing w:line="560" w:lineRule="exact"/>
        <w:ind w:firstLine="632" w:firstLineChars="200"/>
        <w:jc w:val="both"/>
        <w:rPr>
          <w:rFonts w:hint="eastAsia" w:hAnsi="仿宋" w:cs="Times New Roman"/>
          <w:color w:val="000000"/>
          <w:szCs w:val="32"/>
        </w:rPr>
      </w:pPr>
      <w:r>
        <w:rPr>
          <w:rFonts w:hint="eastAsia" w:ascii="黑体" w:hAnsi="黑体" w:eastAsia="黑体" w:cs="Times New Roman"/>
          <w:color w:val="000000"/>
          <w:szCs w:val="32"/>
        </w:rPr>
        <w:t xml:space="preserve">第十五条  </w:t>
      </w:r>
      <w:r>
        <w:rPr>
          <w:rFonts w:hint="eastAsia" w:hAnsi="仿宋" w:cs="Times New Roman"/>
          <w:kern w:val="0"/>
          <w:szCs w:val="32"/>
          <w:shd w:val="clear" w:color="auto" w:fill="FFFFFF"/>
        </w:rPr>
        <w:t>任何单位和个人都应当保持建筑物外立面的整洁、美观，</w:t>
      </w:r>
      <w:r>
        <w:rPr>
          <w:rFonts w:hint="eastAsia" w:hAnsi="仿宋" w:cs="Times New Roman"/>
          <w:color w:val="000000"/>
          <w:szCs w:val="32"/>
        </w:rPr>
        <w:t>有权对违反本条例规定的行为进行劝阻和举报。</w:t>
      </w:r>
    </w:p>
    <w:p>
      <w:pPr>
        <w:widowControl w:val="0"/>
        <w:adjustRightInd w:val="0"/>
        <w:snapToGrid w:val="0"/>
        <w:spacing w:line="560" w:lineRule="exact"/>
        <w:ind w:firstLine="632" w:firstLineChars="200"/>
        <w:jc w:val="both"/>
        <w:rPr>
          <w:rFonts w:hint="eastAsia" w:hAnsi="仿宋" w:cs="Times New Roman"/>
          <w:color w:val="000000"/>
          <w:szCs w:val="32"/>
        </w:rPr>
      </w:pPr>
      <w:r>
        <w:rPr>
          <w:rFonts w:hint="eastAsia" w:ascii="黑体" w:hAnsi="黑体" w:eastAsia="黑体" w:cs="Times New Roman"/>
          <w:color w:val="000000"/>
          <w:szCs w:val="32"/>
        </w:rPr>
        <w:t xml:space="preserve">第十六条  </w:t>
      </w:r>
      <w:r>
        <w:rPr>
          <w:rFonts w:hint="eastAsia" w:hAnsi="仿宋" w:cs="Times New Roman"/>
          <w:color w:val="000000"/>
          <w:szCs w:val="32"/>
        </w:rPr>
        <w:t>有下列行为之一的，由城市管理主管部门或者依法确定的其他行政管理部门按照下列规定予以处理：</w:t>
      </w:r>
    </w:p>
    <w:p>
      <w:pPr>
        <w:widowControl w:val="0"/>
        <w:adjustRightInd w:val="0"/>
        <w:snapToGrid w:val="0"/>
        <w:spacing w:line="560" w:lineRule="exact"/>
        <w:ind w:firstLine="695" w:firstLineChars="220"/>
        <w:jc w:val="both"/>
        <w:rPr>
          <w:rFonts w:hint="eastAsia" w:hAnsi="仿宋" w:cs="Times New Roman"/>
          <w:color w:val="000000"/>
          <w:szCs w:val="32"/>
        </w:rPr>
      </w:pPr>
      <w:r>
        <w:rPr>
          <w:rFonts w:hint="eastAsia" w:hAnsi="仿宋" w:cs="Times New Roman"/>
          <w:color w:val="000000"/>
          <w:szCs w:val="32"/>
        </w:rPr>
        <w:t>（一）违反本条例第九条第一款规定的，责令限期改正，并可以处五千元以上二万元以下罚款，逾期不改正的，依法强制拆除；</w:t>
      </w:r>
    </w:p>
    <w:p>
      <w:pPr>
        <w:widowControl w:val="0"/>
        <w:adjustRightInd w:val="0"/>
        <w:snapToGrid w:val="0"/>
        <w:spacing w:line="560" w:lineRule="exact"/>
        <w:ind w:firstLine="695" w:firstLineChars="220"/>
        <w:jc w:val="both"/>
        <w:rPr>
          <w:rFonts w:hint="eastAsia" w:hAnsi="仿宋" w:cs="Times New Roman"/>
          <w:color w:val="000000"/>
          <w:szCs w:val="32"/>
        </w:rPr>
      </w:pPr>
      <w:r>
        <w:rPr>
          <w:rFonts w:hint="eastAsia" w:hAnsi="仿宋" w:cs="Times New Roman"/>
          <w:color w:val="000000"/>
          <w:szCs w:val="32"/>
        </w:rPr>
        <w:t>（二）违反本条例第十一条、第十四条第一项规定的，责令限期改正，逾期不改正的，处五十元以上五百元以下罚款；</w:t>
      </w:r>
    </w:p>
    <w:p>
      <w:pPr>
        <w:widowControl w:val="0"/>
        <w:adjustRightInd w:val="0"/>
        <w:snapToGrid w:val="0"/>
        <w:spacing w:line="560" w:lineRule="exact"/>
        <w:ind w:firstLine="695" w:firstLineChars="220"/>
        <w:jc w:val="both"/>
        <w:rPr>
          <w:rFonts w:hint="eastAsia" w:hAnsi="仿宋" w:cs="Times New Roman"/>
          <w:color w:val="000000"/>
          <w:szCs w:val="32"/>
        </w:rPr>
      </w:pPr>
      <w:r>
        <w:rPr>
          <w:rFonts w:hint="eastAsia" w:hAnsi="仿宋" w:cs="Times New Roman"/>
          <w:color w:val="000000"/>
          <w:szCs w:val="32"/>
        </w:rPr>
        <w:t>（三）违反本条例第十三条第二款规定的，责令限期履行，并可以处一千元以上一万元以下罚款；</w:t>
      </w:r>
    </w:p>
    <w:p>
      <w:pPr>
        <w:widowControl w:val="0"/>
        <w:adjustRightInd w:val="0"/>
        <w:snapToGrid w:val="0"/>
        <w:spacing w:line="560" w:lineRule="exact"/>
        <w:ind w:firstLine="695" w:firstLineChars="220"/>
        <w:jc w:val="both"/>
        <w:rPr>
          <w:rFonts w:hint="eastAsia" w:hAnsi="仿宋" w:cs="Times New Roman"/>
          <w:color w:val="000000"/>
          <w:szCs w:val="32"/>
        </w:rPr>
      </w:pPr>
      <w:r>
        <w:rPr>
          <w:rFonts w:hint="eastAsia" w:hAnsi="仿宋" w:cs="Times New Roman"/>
          <w:color w:val="000000"/>
          <w:szCs w:val="32"/>
        </w:rPr>
        <w:t>（四）违反本条例第十四条第二项、第三项、第四项规定的，责令限期改正，逾期不改正的，处五百元以上五千元以下罚款；</w:t>
      </w:r>
    </w:p>
    <w:p>
      <w:pPr>
        <w:widowControl w:val="0"/>
        <w:adjustRightInd w:val="0"/>
        <w:snapToGrid w:val="0"/>
        <w:spacing w:line="560" w:lineRule="exact"/>
        <w:ind w:firstLine="695" w:firstLineChars="220"/>
        <w:jc w:val="both"/>
        <w:rPr>
          <w:rFonts w:hint="eastAsia" w:hAnsi="仿宋" w:cs="Times New Roman"/>
          <w:color w:val="000000"/>
          <w:szCs w:val="32"/>
        </w:rPr>
      </w:pPr>
      <w:r>
        <w:rPr>
          <w:rFonts w:hint="eastAsia" w:hAnsi="仿宋" w:cs="Times New Roman"/>
          <w:color w:val="000000"/>
          <w:szCs w:val="32"/>
        </w:rPr>
        <w:t>（五）违反本条例第十四条第五项规定的，责令限期清除，并可以处一百元以上二百元以下罚款；</w:t>
      </w:r>
    </w:p>
    <w:p>
      <w:pPr>
        <w:widowControl w:val="0"/>
        <w:adjustRightInd w:val="0"/>
        <w:snapToGrid w:val="0"/>
        <w:spacing w:line="560" w:lineRule="exact"/>
        <w:ind w:firstLine="695" w:firstLineChars="220"/>
        <w:jc w:val="both"/>
        <w:rPr>
          <w:rFonts w:hint="eastAsia" w:hAnsi="仿宋" w:cs="Times New Roman"/>
          <w:color w:val="000000"/>
          <w:szCs w:val="32"/>
        </w:rPr>
      </w:pPr>
      <w:r>
        <w:rPr>
          <w:rFonts w:hint="eastAsia" w:hAnsi="仿宋" w:cs="Times New Roman"/>
          <w:color w:val="000000"/>
          <w:szCs w:val="32"/>
        </w:rPr>
        <w:t>（六）违反本条例第十四条第六项规定的，责令停止建设或者限期拆除，并可以处已建建筑物、构筑物工程造价百分之十以下的罚款；作出责令停止建设或者限期拆除的决定后，当事人不停止建设或者逾期不拆除的，市、区人民政府可以责成有关部门采取查封施工现场、强制拆除等措施。</w:t>
      </w:r>
    </w:p>
    <w:p>
      <w:pPr>
        <w:widowControl w:val="0"/>
        <w:adjustRightInd w:val="0"/>
        <w:snapToGrid w:val="0"/>
        <w:spacing w:line="560" w:lineRule="exact"/>
        <w:ind w:firstLine="695" w:firstLineChars="220"/>
        <w:jc w:val="both"/>
        <w:rPr>
          <w:rFonts w:hint="eastAsia" w:hAnsi="楷体" w:cs="Times New Roman"/>
          <w:kern w:val="0"/>
          <w:szCs w:val="32"/>
          <w:shd w:val="clear" w:color="auto" w:fill="FFFFFF"/>
        </w:rPr>
      </w:pPr>
      <w:r>
        <w:rPr>
          <w:rFonts w:hint="eastAsia" w:ascii="黑体" w:hAnsi="黑体" w:eastAsia="黑体" w:cs="Times New Roman"/>
          <w:color w:val="000000"/>
          <w:szCs w:val="32"/>
        </w:rPr>
        <w:t xml:space="preserve">第十七条  </w:t>
      </w:r>
      <w:r>
        <w:rPr>
          <w:rFonts w:hint="eastAsia" w:hAnsi="楷体" w:cs="Times New Roman"/>
          <w:kern w:val="0"/>
          <w:szCs w:val="32"/>
          <w:shd w:val="clear" w:color="auto" w:fill="FFFFFF"/>
        </w:rPr>
        <w:t>有关行政管理机关违反本条例规定的，由其主管机关或者监察机关责令改正、通报批评；对建筑物外立面负有监督管理责任的国家工作人员玩忽职守、滥用职权、徇私舞弊的，依法给予行政处分。</w:t>
      </w:r>
    </w:p>
    <w:p>
      <w:pPr>
        <w:widowControl w:val="0"/>
        <w:adjustRightInd w:val="0"/>
        <w:snapToGrid w:val="0"/>
        <w:spacing w:line="560" w:lineRule="exact"/>
        <w:ind w:firstLine="630"/>
        <w:jc w:val="both"/>
        <w:rPr>
          <w:rFonts w:hint="eastAsia" w:hAnsi="仿宋" w:cs="Times New Roman"/>
          <w:szCs w:val="32"/>
        </w:rPr>
      </w:pPr>
      <w:r>
        <w:rPr>
          <w:rFonts w:hint="eastAsia" w:ascii="黑体" w:hAnsi="黑体" w:eastAsia="黑体" w:cs="Times New Roman"/>
          <w:color w:val="000000"/>
          <w:szCs w:val="32"/>
        </w:rPr>
        <w:t xml:space="preserve">第十八条  </w:t>
      </w:r>
      <w:r>
        <w:rPr>
          <w:rFonts w:hint="eastAsia" w:hAnsi="仿宋" w:cs="Times New Roman"/>
          <w:szCs w:val="32"/>
        </w:rPr>
        <w:t>违反本条例规定依法应当给予治安管理处罚的，由公安机关依法实施；构成犯罪的，依法追究刑事责任。</w:t>
      </w:r>
    </w:p>
    <w:p>
      <w:pPr>
        <w:widowControl w:val="0"/>
        <w:adjustRightInd w:val="0"/>
        <w:snapToGrid w:val="0"/>
        <w:spacing w:line="560" w:lineRule="exact"/>
        <w:ind w:firstLine="630"/>
        <w:jc w:val="both"/>
        <w:rPr>
          <w:rFonts w:hint="eastAsia" w:hAnsi="仿宋" w:cs="Times New Roman"/>
          <w:color w:val="000000"/>
          <w:szCs w:val="32"/>
        </w:rPr>
      </w:pPr>
      <w:r>
        <w:rPr>
          <w:rFonts w:hint="eastAsia" w:ascii="黑体" w:hAnsi="黑体" w:eastAsia="黑体" w:cs="Times New Roman"/>
          <w:color w:val="000000"/>
          <w:szCs w:val="32"/>
        </w:rPr>
        <w:t xml:space="preserve">第十九条  </w:t>
      </w:r>
      <w:r>
        <w:rPr>
          <w:rFonts w:hint="eastAsia" w:hAnsi="仿宋" w:cs="Times New Roman"/>
          <w:color w:val="000000"/>
          <w:szCs w:val="32"/>
        </w:rPr>
        <w:t>本市所辖各市、县、自治县城区建筑物外立面的监督管理工作，可以参照本条例执行。</w:t>
      </w:r>
    </w:p>
    <w:p>
      <w:pPr>
        <w:widowControl w:val="0"/>
        <w:adjustRightInd w:val="0"/>
        <w:snapToGrid w:val="0"/>
        <w:spacing w:line="560" w:lineRule="exact"/>
        <w:ind w:firstLine="630"/>
        <w:jc w:val="both"/>
        <w:rPr>
          <w:rFonts w:hint="eastAsia" w:hAnsi="仿宋" w:cs="Times New Roman"/>
          <w:szCs w:val="32"/>
        </w:rPr>
      </w:pPr>
      <w:r>
        <w:rPr>
          <w:rFonts w:hint="eastAsia" w:ascii="黑体" w:hAnsi="黑体" w:eastAsia="黑体" w:cs="Times New Roman"/>
          <w:color w:val="000000"/>
          <w:szCs w:val="32"/>
        </w:rPr>
        <w:t xml:space="preserve">第二十条  </w:t>
      </w:r>
      <w:r>
        <w:rPr>
          <w:rFonts w:hint="eastAsia" w:hAnsi="仿宋" w:cs="Times New Roman"/>
          <w:szCs w:val="32"/>
        </w:rPr>
        <w:t>本条例自2017年7月1日起施行。</w:t>
      </w:r>
    </w:p>
    <w:p>
      <w:pPr>
        <w:spacing w:line="560" w:lineRule="exact"/>
        <w:ind w:firstLine="412"/>
        <w:jc w:val="left"/>
        <w:rPr>
          <w:rFonts w:hint="eastAsia"/>
        </w:rPr>
      </w:pPr>
    </w:p>
    <w:sectPr>
      <w:footerReference r:id="rId3" w:type="default"/>
      <w:footerReference r:id="rId4" w:type="even"/>
      <w:pgSz w:w="11906" w:h="16838"/>
      <w:pgMar w:top="2098" w:right="1474" w:bottom="1985" w:left="1588" w:header="851" w:footer="1701"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1912375"/>
    </w:sdtPr>
    <w:sdtEndPr>
      <w:rPr>
        <w:sz w:val="28"/>
        <w:szCs w:val="28"/>
      </w:rPr>
    </w:sdtEndPr>
    <w:sdtContent>
      <w:p>
        <w:pPr>
          <w:pStyle w:val="2"/>
          <w:ind w:right="320" w:rightChars="100"/>
          <w:jc w:val="right"/>
          <w:rPr>
            <w:sz w:val="28"/>
            <w:szCs w:val="28"/>
          </w:rPr>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3</w:t>
        </w:r>
        <w:r>
          <w:rPr>
            <w:sz w:val="28"/>
            <w:szCs w:val="28"/>
          </w:rPr>
          <w:fldChar w:fldCharType="end"/>
        </w:r>
        <w:r>
          <w:rPr>
            <w:sz w:val="28"/>
            <w:szCs w:val="28"/>
          </w:rPr>
          <w:t xml:space="preserve"> </w:t>
        </w:r>
        <w:r>
          <w:rPr>
            <w:rFonts w:hint="eastAsia"/>
            <w:sz w:val="28"/>
            <w:szCs w:val="28"/>
          </w:rPr>
          <w:t>－</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9341203"/>
    </w:sdtPr>
    <w:sdtContent>
      <w:p>
        <w:pPr>
          <w:pStyle w:val="2"/>
          <w:ind w:left="320" w:leftChars="100"/>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w:t>
        </w:r>
        <w:r>
          <w:rPr>
            <w:sz w:val="28"/>
            <w:szCs w:val="28"/>
          </w:rPr>
          <w:fldChar w:fldCharType="end"/>
        </w:r>
        <w:r>
          <w:rPr>
            <w:sz w:val="28"/>
            <w:szCs w:val="28"/>
          </w:rPr>
          <w:t xml:space="preserve"> </w:t>
        </w:r>
        <w:r>
          <w:rPr>
            <w:rFonts w:hint="eastAsia"/>
            <w:sz w:val="28"/>
            <w:szCs w:val="28"/>
          </w:rPr>
          <w:t>－</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F4"/>
    <w:rsid w:val="00101210"/>
    <w:rsid w:val="002F7CC9"/>
    <w:rsid w:val="00306A10"/>
    <w:rsid w:val="00360368"/>
    <w:rsid w:val="00482A79"/>
    <w:rsid w:val="00513A57"/>
    <w:rsid w:val="00682840"/>
    <w:rsid w:val="007C72E1"/>
    <w:rsid w:val="00A14556"/>
    <w:rsid w:val="00B66990"/>
    <w:rsid w:val="00CC7CFC"/>
    <w:rsid w:val="00D56B60"/>
    <w:rsid w:val="00F817F4"/>
    <w:rsid w:val="5A8B230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仿宋_GB2312" w:eastAsia="仿宋_GB2312" w:hAnsiTheme="minorHAnsi" w:cstheme="minorBidi"/>
      <w:kern w:val="2"/>
      <w:sz w:val="32"/>
      <w:szCs w:val="21"/>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pPr>
    <w:rPr>
      <w:sz w:val="18"/>
      <w:szCs w:val="18"/>
    </w:rPr>
  </w:style>
  <w:style w:type="character" w:customStyle="1" w:styleId="6">
    <w:name w:val="页眉 字符"/>
    <w:basedOn w:val="4"/>
    <w:link w:val="3"/>
    <w:uiPriority w:val="99"/>
    <w:rPr>
      <w:rFonts w:ascii="仿宋_GB2312" w:eastAsia="仿宋_GB2312"/>
      <w:sz w:val="18"/>
      <w:szCs w:val="18"/>
    </w:rPr>
  </w:style>
  <w:style w:type="character" w:customStyle="1" w:styleId="7">
    <w:name w:val="页脚 字符"/>
    <w:basedOn w:val="4"/>
    <w:link w:val="2"/>
    <w:qFormat/>
    <w:uiPriority w:val="99"/>
    <w:rPr>
      <w:rFonts w:ascii="仿宋_GB2312" w:eastAsia="仿宋_GB231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354</Words>
  <Characters>2019</Characters>
  <Lines>16</Lines>
  <Paragraphs>4</Paragraphs>
  <TotalTime>0</TotalTime>
  <ScaleCrop>false</ScaleCrop>
  <LinksUpToDate>false</LinksUpToDate>
  <CharactersWithSpaces>2369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2017-07-09T01:37:00Z</dcterms:created>
  <dc:creator>Byron Jack</dc:creator>
  <cp:lastModifiedBy>Byron</cp:lastModifiedBy>
  <dcterms:modified xsi:type="dcterms:W3CDTF">2017-07-09T14:37:46Z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