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bookmarkEnd w:id="0"/>
    </w:p>
    <w:p>
      <w:pPr>
        <w:pStyle w:val="7"/>
        <w:ind w:left="4480"/>
      </w:pPr>
    </w:p>
    <w:p>
      <w:pPr>
        <w:widowControl/>
        <w:shd w:val="clear" w:color="auto" w:fill="FFFFFF"/>
        <w:spacing w:line="640" w:lineRule="exact"/>
        <w:jc w:val="center"/>
        <w:rPr>
          <w:rFonts w:ascii="宋体" w:hAnsi="宋体" w:eastAsia="宋体" w:cs="宋体"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snapToGrid/>
          <w:color w:val="000000"/>
          <w:sz w:val="44"/>
          <w:szCs w:val="44"/>
        </w:rPr>
        <w:t>山东省人民代表大会常务委员会</w:t>
      </w:r>
    </w:p>
    <w:p>
      <w:pPr>
        <w:widowControl/>
        <w:shd w:val="clear" w:color="auto" w:fill="FFFFFF"/>
        <w:spacing w:line="640" w:lineRule="exact"/>
        <w:jc w:val="center"/>
        <w:rPr>
          <w:rFonts w:ascii="宋体" w:hAnsi="宋体" w:eastAsia="宋体" w:cs="宋体"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snapToGrid/>
          <w:color w:val="000000"/>
          <w:sz w:val="44"/>
          <w:szCs w:val="44"/>
        </w:rPr>
        <w:t>关于授权省人民政府为冬奥会保障工作</w:t>
      </w:r>
    </w:p>
    <w:p>
      <w:pPr>
        <w:widowControl/>
        <w:shd w:val="clear" w:color="auto" w:fill="FFFFFF"/>
        <w:spacing w:line="640" w:lineRule="exact"/>
        <w:jc w:val="center"/>
        <w:rPr>
          <w:rFonts w:ascii="宋体" w:hAnsi="宋体" w:eastAsia="宋体" w:cs="宋体"/>
          <w:snapToGrid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snapToGrid/>
          <w:color w:val="000000"/>
          <w:sz w:val="44"/>
          <w:szCs w:val="44"/>
        </w:rPr>
        <w:t>规定临时性行政措施的决定</w:t>
      </w:r>
    </w:p>
    <w:p>
      <w:pPr>
        <w:pStyle w:val="2"/>
        <w:ind w:left="640" w:firstLine="640"/>
        <w:rPr>
          <w:rFonts w:hint="eastAsia"/>
        </w:rPr>
      </w:pPr>
    </w:p>
    <w:p>
      <w:pPr>
        <w:spacing w:line="580" w:lineRule="exact"/>
        <w:jc w:val="center"/>
        <w:rPr>
          <w:rFonts w:ascii="楷体_GB2312" w:eastAsia="楷体_GB2312"/>
          <w:color w:val="000000"/>
        </w:rPr>
      </w:pPr>
      <w:r>
        <w:rPr>
          <w:rFonts w:hint="eastAsia" w:ascii="黑体" w:hAnsi="黑体" w:eastAsia="黑体"/>
          <w:snapToGrid/>
          <w:color w:val="000000"/>
          <w:kern w:val="2"/>
        </w:rPr>
        <w:t>（</w:t>
      </w:r>
      <w:r>
        <w:rPr>
          <w:rFonts w:hint="eastAsia" w:ascii="楷体_GB2312" w:eastAsia="楷体_GB2312"/>
          <w:snapToGrid/>
          <w:color w:val="000000"/>
          <w:kern w:val="2"/>
        </w:rPr>
        <w:t>202</w:t>
      </w:r>
      <w:r>
        <w:rPr>
          <w:rFonts w:ascii="楷体_GB2312" w:eastAsia="楷体_GB2312"/>
          <w:snapToGrid/>
          <w:color w:val="000000"/>
          <w:kern w:val="2"/>
        </w:rPr>
        <w:t>1</w:t>
      </w:r>
      <w:r>
        <w:rPr>
          <w:rFonts w:hint="eastAsia" w:ascii="楷体_GB2312" w:eastAsia="楷体_GB2312"/>
          <w:snapToGrid/>
          <w:color w:val="000000"/>
          <w:kern w:val="2"/>
        </w:rPr>
        <w:t>年</w:t>
      </w:r>
      <w:r>
        <w:rPr>
          <w:rFonts w:ascii="楷体_GB2312" w:eastAsia="楷体_GB2312"/>
          <w:snapToGrid/>
          <w:color w:val="000000"/>
          <w:kern w:val="2"/>
        </w:rPr>
        <w:t>12</w:t>
      </w:r>
      <w:r>
        <w:rPr>
          <w:rFonts w:hint="eastAsia" w:ascii="楷体_GB2312" w:eastAsia="楷体_GB2312"/>
          <w:snapToGrid/>
          <w:color w:val="000000"/>
          <w:kern w:val="2"/>
        </w:rPr>
        <w:t>月</w:t>
      </w:r>
      <w:r>
        <w:rPr>
          <w:rFonts w:ascii="楷体_GB2312" w:eastAsia="楷体_GB2312"/>
          <w:snapToGrid/>
          <w:color w:val="000000"/>
          <w:kern w:val="2"/>
        </w:rPr>
        <w:t>3</w:t>
      </w:r>
      <w:r>
        <w:rPr>
          <w:rFonts w:hint="eastAsia" w:ascii="楷体_GB2312" w:eastAsia="楷体_GB2312"/>
          <w:snapToGrid/>
          <w:color w:val="000000"/>
          <w:kern w:val="2"/>
        </w:rPr>
        <w:t>日山东省第十三届人民代表大会</w:t>
      </w:r>
    </w:p>
    <w:p>
      <w:pPr>
        <w:tabs>
          <w:tab w:val="left" w:pos="567"/>
        </w:tabs>
        <w:spacing w:line="580" w:lineRule="exact"/>
        <w:ind w:firstLine="1120" w:firstLineChars="350"/>
        <w:rPr>
          <w:rFonts w:ascii="楷体_GB2312" w:hAnsi="楷体_GB2312" w:eastAsia="楷体_GB2312" w:cs="楷体_GB2312"/>
          <w:color w:val="000000"/>
          <w:sz w:val="44"/>
          <w:szCs w:val="44"/>
        </w:rPr>
      </w:pPr>
      <w:r>
        <w:rPr>
          <w:rFonts w:hint="eastAsia" w:ascii="楷体_GB2312" w:eastAsia="楷体_GB2312"/>
          <w:snapToGrid/>
          <w:color w:val="000000"/>
          <w:kern w:val="2"/>
        </w:rPr>
        <w:t>常务委员会第三十二次会议通过</w:t>
      </w:r>
      <w:r>
        <w:rPr>
          <w:rFonts w:hint="eastAsia" w:ascii="黑体" w:hAnsi="黑体" w:eastAsia="黑体"/>
          <w:snapToGrid/>
          <w:color w:val="000000"/>
          <w:kern w:val="2"/>
        </w:rPr>
        <w:t>）</w:t>
      </w:r>
    </w:p>
    <w:p>
      <w:pPr>
        <w:widowControl/>
        <w:shd w:val="clear" w:color="auto" w:fill="FFFFFF"/>
        <w:spacing w:line="580" w:lineRule="exact"/>
        <w:ind w:firstLine="640" w:firstLineChars="200"/>
        <w:rPr>
          <w:rFonts w:ascii="仿宋_GB2312" w:hAnsi="楷体" w:cs="宋体"/>
          <w:color w:val="000000"/>
        </w:rPr>
      </w:pPr>
    </w:p>
    <w:p>
      <w:pPr>
        <w:widowControl/>
        <w:spacing w:line="580" w:lineRule="exact"/>
        <w:ind w:firstLine="640" w:firstLineChars="200"/>
        <w:rPr>
          <w:rFonts w:ascii="仿宋_GB2312" w:hAnsi="黑体" w:cs="仿宋_GB2312"/>
          <w:shd w:val="clear" w:color="auto" w:fill="FFFFFF"/>
        </w:rPr>
      </w:pPr>
      <w:r>
        <w:rPr>
          <w:rFonts w:hint="eastAsia" w:ascii="仿宋_GB2312" w:hAnsi="黑体" w:cs="仿宋_GB2312"/>
          <w:shd w:val="clear" w:color="auto" w:fill="FFFFFF"/>
        </w:rPr>
        <w:t>为了配合保障北京2022年冬奥会和冬残奥会(统称冬奥会)筹备和举办工作的顺利举行，山东省第十三届人民代表大会常务委员会第三十二次会议决定：</w:t>
      </w:r>
    </w:p>
    <w:p>
      <w:pPr>
        <w:widowControl/>
        <w:spacing w:line="580" w:lineRule="exact"/>
        <w:rPr>
          <w:rFonts w:ascii="仿宋_GB2312" w:hAnsi="黑体" w:cs="仿宋_GB2312"/>
        </w:rPr>
      </w:pPr>
      <w:r>
        <w:rPr>
          <w:rFonts w:hint="eastAsia" w:ascii="仿宋_GB2312" w:hAnsi="黑体" w:cs="仿宋_GB2312"/>
          <w:shd w:val="clear" w:color="auto" w:fill="FFFFFF"/>
        </w:rPr>
        <w:t>　　</w:t>
      </w:r>
      <w:r>
        <w:rPr>
          <w:rFonts w:hint="eastAsia" w:ascii="黑体" w:hAnsi="黑体" w:eastAsia="黑体" w:cs="仿宋_GB2312"/>
          <w:shd w:val="clear" w:color="auto" w:fill="FFFFFF"/>
        </w:rPr>
        <w:t>一、</w:t>
      </w:r>
      <w:r>
        <w:rPr>
          <w:rFonts w:hint="eastAsia" w:ascii="仿宋_GB2312" w:hAnsi="黑体" w:cs="仿宋_GB2312"/>
          <w:shd w:val="clear" w:color="auto" w:fill="FFFFFF"/>
        </w:rPr>
        <w:t>在冬奥会筹备、举办期间，省人民政府根据工作需要，在不与法律、行政法规相抵触，不与本省地方性法规基本原则相违背的前提下，按照必要、适度、精准的原则，通过制定政府规章或者发布决定等形式，在环境保护、公共安全、公共卫生、道路交通等方面规定临时性行政措施并组织实施。</w:t>
      </w:r>
    </w:p>
    <w:p>
      <w:pPr>
        <w:widowControl/>
        <w:spacing w:line="580" w:lineRule="exact"/>
        <w:rPr>
          <w:rFonts w:ascii="仿宋_GB2312" w:hAnsi="黑体" w:cs="仿宋_GB2312"/>
        </w:rPr>
      </w:pPr>
      <w:r>
        <w:rPr>
          <w:rFonts w:hint="eastAsia" w:ascii="仿宋_GB2312" w:hAnsi="黑体" w:cs="仿宋_GB2312"/>
          <w:shd w:val="clear" w:color="auto" w:fill="FFFFFF"/>
        </w:rPr>
        <w:t>　　</w:t>
      </w:r>
      <w:r>
        <w:rPr>
          <w:rFonts w:hint="eastAsia" w:ascii="黑体" w:hAnsi="黑体" w:eastAsia="黑体" w:cs="仿宋_GB2312"/>
          <w:shd w:val="clear" w:color="auto" w:fill="FFFFFF"/>
        </w:rPr>
        <w:t>二、</w:t>
      </w:r>
      <w:r>
        <w:rPr>
          <w:rFonts w:hint="eastAsia" w:ascii="仿宋_GB2312" w:hAnsi="黑体" w:cs="仿宋_GB2312"/>
          <w:shd w:val="clear" w:color="auto" w:fill="FFFFFF"/>
        </w:rPr>
        <w:t>根据本决定制定的政府规章或者发布的决定等，依法报省人民代表大会常务委员会备案。</w:t>
      </w:r>
    </w:p>
    <w:p>
      <w:pPr>
        <w:widowControl/>
        <w:shd w:val="clear" w:color="auto" w:fill="FFFFFF"/>
        <w:spacing w:line="580" w:lineRule="exact"/>
        <w:ind w:firstLine="640" w:firstLineChars="200"/>
        <w:rPr>
          <w:rFonts w:ascii="仿宋_GB2312" w:hAnsi="黑体" w:cs="仿宋_GB2312"/>
          <w:shd w:val="clear" w:color="auto" w:fill="FFFFFF"/>
        </w:rPr>
      </w:pPr>
      <w:r>
        <w:rPr>
          <w:rFonts w:hint="eastAsia" w:ascii="仿宋_GB2312" w:hAnsi="黑体" w:cs="仿宋_GB2312"/>
          <w:snapToGrid/>
          <w:shd w:val="clear" w:color="auto" w:fill="FFFFFF"/>
        </w:rPr>
        <w:t>本决定自2022年1月28日起施行，有效期至2022年3月13日。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85C90E"/>
    <w:rsid w:val="78664E30"/>
    <w:rsid w:val="AC85C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iPriority="39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5"/>
    <w:qFormat/>
    <w:uiPriority w:val="0"/>
    <w:pPr>
      <w:ind w:firstLine="420" w:firstLineChars="200"/>
    </w:pPr>
  </w:style>
  <w:style w:type="paragraph" w:styleId="3">
    <w:name w:val="Body Text Indent"/>
    <w:basedOn w:val="1"/>
    <w:next w:val="4"/>
    <w:qFormat/>
    <w:uiPriority w:val="99"/>
    <w:pPr>
      <w:spacing w:after="120"/>
      <w:ind w:left="420" w:leftChars="200"/>
    </w:pPr>
  </w:style>
  <w:style w:type="paragraph" w:styleId="4">
    <w:name w:val="Normal Indent"/>
    <w:basedOn w:val="1"/>
    <w:next w:val="1"/>
    <w:qFormat/>
    <w:uiPriority w:val="0"/>
    <w:pPr>
      <w:ind w:firstLine="420"/>
    </w:pPr>
    <w:rPr>
      <w:rFonts w:eastAsia="宋体"/>
      <w:sz w:val="21"/>
      <w:szCs w:val="20"/>
    </w:rPr>
  </w:style>
  <w:style w:type="paragraph" w:customStyle="1" w:styleId="5">
    <w:name w:val="Default"/>
    <w:basedOn w:val="6"/>
    <w:next w:val="7"/>
    <w:qFormat/>
    <w:uiPriority w:val="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6">
    <w:name w:val="正文 New"/>
    <w:next w:val="5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2021-12-27T14:42:00Z</dcterms:created>
  <dc:creator>user</dc:creator>
  <cp:lastModifiedBy>苏苏</cp:lastModifiedBy>
  <dcterms:modified xsi:type="dcterms:W3CDTF">2021-12-29T03:20:09Z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