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autoSpaceDE w:val="0"/>
        <w:spacing w:line="520" w:lineRule="exact"/>
        <w:jc w:val="center"/>
        <w:rPr>
          <w:rFonts w:ascii="方正小标宋_GBK" w:hAnsi="宋体" w:eastAsia="方正小标宋_GBK" w:cs="宋体"/>
          <w:snapToGrid/>
          <w:kern w:val="2"/>
          <w:sz w:val="44"/>
          <w:szCs w:val="44"/>
        </w:rPr>
      </w:pPr>
    </w:p>
    <w:p>
      <w:pPr>
        <w:pStyle w:val="7"/>
        <w:autoSpaceDE w:val="0"/>
        <w:spacing w:line="520" w:lineRule="exact"/>
        <w:jc w:val="center"/>
        <w:rPr>
          <w:rFonts w:ascii="方正小标宋_GBK" w:hAnsi="宋体" w:eastAsia="方正小标宋_GBK" w:cs="宋体"/>
          <w:snapToGrid/>
          <w:kern w:val="2"/>
          <w:sz w:val="44"/>
          <w:szCs w:val="44"/>
        </w:rPr>
      </w:pPr>
    </w:p>
    <w:p>
      <w:pPr>
        <w:pStyle w:val="7"/>
        <w:autoSpaceDE w:val="0"/>
        <w:spacing w:line="560" w:lineRule="exact"/>
        <w:jc w:val="center"/>
        <w:rPr>
          <w:rFonts w:ascii="宋体" w:hAnsi="宋体" w:cs="宋体"/>
          <w:snapToGrid/>
          <w:kern w:val="2"/>
          <w:sz w:val="44"/>
          <w:szCs w:val="44"/>
        </w:rPr>
      </w:pPr>
      <w:r>
        <w:rPr>
          <w:rFonts w:hint="eastAsia" w:ascii="宋体" w:hAnsi="宋体" w:cs="宋体"/>
          <w:snapToGrid/>
          <w:kern w:val="2"/>
          <w:sz w:val="44"/>
          <w:szCs w:val="44"/>
        </w:rPr>
        <w:t>山东省养老服务条例</w:t>
      </w:r>
    </w:p>
    <w:p>
      <w:pPr>
        <w:spacing w:line="560" w:lineRule="exact"/>
        <w:ind w:firstLine="640" w:firstLineChars="200"/>
        <w:rPr>
          <w:rFonts w:ascii="楷体_GB2312" w:eastAsia="楷体_GB2312"/>
          <w:bCs/>
        </w:rPr>
      </w:pPr>
    </w:p>
    <w:p>
      <w:pPr>
        <w:spacing w:line="560" w:lineRule="exact"/>
        <w:ind w:firstLine="640" w:firstLineChars="200"/>
        <w:rPr>
          <w:rFonts w:ascii="楷体_GB2312" w:hAnsi="等线" w:eastAsia="楷体_GB2312"/>
          <w:bCs/>
          <w:snapToGrid/>
          <w:kern w:val="2"/>
        </w:rPr>
      </w:pPr>
      <w:r>
        <w:rPr>
          <w:rFonts w:hint="eastAsia" w:ascii="楷体_GB2312" w:hAnsi="等线" w:eastAsia="楷体_GB2312"/>
          <w:bCs/>
          <w:snapToGrid/>
          <w:kern w:val="2"/>
        </w:rPr>
        <w:t>（2020年3月26日山东省第十三届人民代表大会常务</w:t>
      </w:r>
    </w:p>
    <w:p>
      <w:pPr>
        <w:spacing w:line="560" w:lineRule="exact"/>
        <w:ind w:firstLine="640" w:firstLineChars="200"/>
        <w:rPr>
          <w:rFonts w:ascii="楷体_GB2312" w:eastAsia="楷体_GB2312"/>
          <w:bCs/>
        </w:rPr>
      </w:pPr>
      <w:r>
        <w:rPr>
          <w:rFonts w:hint="cs" w:eastAsia="楷体_GB2312" w:asciiTheme="minorHAnsi" w:hAnsiTheme="minorHAnsi"/>
          <w:bCs/>
          <w:snapToGrid/>
          <w:kern w:val="2"/>
        </w:rPr>
        <w:t>   </w:t>
      </w:r>
      <w:r>
        <w:rPr>
          <w:rFonts w:hint="eastAsia" w:ascii="楷体_GB2312" w:hAnsi="等线" w:eastAsia="楷体_GB2312"/>
          <w:bCs/>
          <w:snapToGrid/>
          <w:kern w:val="2"/>
        </w:rPr>
        <w:t>委员会第十八次会议通过）</w:t>
      </w:r>
    </w:p>
    <w:p>
      <w:pPr>
        <w:spacing w:line="560" w:lineRule="exact"/>
      </w:pPr>
    </w:p>
    <w:p>
      <w:pPr>
        <w:spacing w:line="560" w:lineRule="exact"/>
        <w:ind w:firstLine="3840" w:firstLineChars="1200"/>
        <w:rPr>
          <w:rFonts w:ascii="楷体_GB2312" w:hAnsi="黑体" w:eastAsia="楷体_GB2312"/>
        </w:rPr>
      </w:pPr>
      <w:r>
        <w:rPr>
          <w:rFonts w:hint="eastAsia" w:ascii="楷体_GB2312" w:hAnsi="黑体" w:eastAsia="楷体_GB2312"/>
          <w:snapToGrid/>
          <w:kern w:val="2"/>
        </w:rPr>
        <w:t>目  录</w:t>
      </w:r>
    </w:p>
    <w:p>
      <w:pPr>
        <w:spacing w:line="560" w:lineRule="exact"/>
        <w:rPr>
          <w:rFonts w:ascii="楷体_GB2312" w:hAnsi="楷体" w:eastAsia="楷体_GB2312" w:cs="楷体"/>
        </w:rPr>
      </w:pPr>
      <w:r>
        <w:rPr>
          <w:rFonts w:hint="eastAsia" w:eastAsia="楷体_GB2312" w:cs="楷体" w:asciiTheme="minorHAnsi" w:hAnsiTheme="minorHAnsi"/>
          <w:snapToGrid/>
          <w:kern w:val="2"/>
        </w:rPr>
        <w:t xml:space="preserve">    </w:t>
      </w:r>
      <w:r>
        <w:rPr>
          <w:rFonts w:hint="eastAsia" w:ascii="楷体_GB2312" w:hAnsi="楷体" w:eastAsia="楷体_GB2312" w:cs="楷体"/>
          <w:snapToGrid/>
          <w:kern w:val="2"/>
        </w:rPr>
        <w:t>第一章  总则</w:t>
      </w:r>
    </w:p>
    <w:p>
      <w:pPr>
        <w:spacing w:line="560" w:lineRule="exact"/>
        <w:rPr>
          <w:rFonts w:ascii="楷体_GB2312" w:hAnsi="楷体" w:eastAsia="楷体_GB2312" w:cs="楷体"/>
        </w:rPr>
      </w:pPr>
      <w:r>
        <w:rPr>
          <w:rFonts w:hint="eastAsia" w:ascii="楷体_GB2312" w:hAnsi="楷体" w:eastAsia="楷体_GB2312" w:cs="楷体"/>
          <w:snapToGrid/>
          <w:kern w:val="2"/>
        </w:rPr>
        <w:t xml:space="preserve">    第二章  养老服务设施规划和建设</w:t>
      </w:r>
    </w:p>
    <w:p>
      <w:pPr>
        <w:spacing w:line="560" w:lineRule="exact"/>
        <w:rPr>
          <w:rFonts w:ascii="楷体_GB2312" w:hAnsi="楷体" w:eastAsia="楷体_GB2312" w:cs="楷体"/>
        </w:rPr>
      </w:pPr>
      <w:r>
        <w:rPr>
          <w:rFonts w:hint="eastAsia" w:ascii="楷体_GB2312" w:hAnsi="楷体" w:eastAsia="楷体_GB2312" w:cs="楷体"/>
          <w:snapToGrid/>
          <w:kern w:val="2"/>
        </w:rPr>
        <w:t xml:space="preserve">    第三章  居家社区养老服务</w:t>
      </w:r>
    </w:p>
    <w:p>
      <w:pPr>
        <w:spacing w:line="560" w:lineRule="exact"/>
        <w:rPr>
          <w:rFonts w:ascii="楷体_GB2312" w:hAnsi="楷体" w:eastAsia="楷体_GB2312" w:cs="楷体"/>
        </w:rPr>
      </w:pPr>
      <w:r>
        <w:rPr>
          <w:rFonts w:hint="eastAsia" w:ascii="楷体_GB2312" w:hAnsi="楷体" w:eastAsia="楷体_GB2312" w:cs="楷体"/>
          <w:snapToGrid/>
          <w:kern w:val="2"/>
        </w:rPr>
        <w:t xml:space="preserve">    第四章  机构养老服务</w:t>
      </w:r>
    </w:p>
    <w:p>
      <w:pPr>
        <w:spacing w:line="560" w:lineRule="exact"/>
        <w:rPr>
          <w:rFonts w:ascii="楷体_GB2312" w:hAnsi="楷体" w:eastAsia="楷体_GB2312" w:cs="楷体"/>
        </w:rPr>
      </w:pPr>
      <w:r>
        <w:rPr>
          <w:rFonts w:hint="eastAsia" w:ascii="楷体_GB2312" w:hAnsi="楷体" w:eastAsia="楷体_GB2312" w:cs="楷体"/>
          <w:snapToGrid/>
          <w:kern w:val="2"/>
        </w:rPr>
        <w:t xml:space="preserve">    第五章  医养康养结合服务</w:t>
      </w:r>
    </w:p>
    <w:p>
      <w:pPr>
        <w:spacing w:line="560" w:lineRule="exact"/>
        <w:rPr>
          <w:rFonts w:ascii="楷体_GB2312" w:hAnsi="楷体" w:eastAsia="楷体_GB2312" w:cs="楷体"/>
        </w:rPr>
      </w:pPr>
      <w:r>
        <w:rPr>
          <w:rFonts w:hint="eastAsia" w:ascii="楷体_GB2312" w:hAnsi="楷体" w:eastAsia="楷体_GB2312" w:cs="楷体"/>
          <w:snapToGrid/>
          <w:kern w:val="2"/>
        </w:rPr>
        <w:t xml:space="preserve">    第六章  扶持保障措施</w:t>
      </w:r>
    </w:p>
    <w:p>
      <w:pPr>
        <w:spacing w:line="560" w:lineRule="exact"/>
        <w:rPr>
          <w:rFonts w:ascii="楷体_GB2312" w:hAnsi="楷体" w:eastAsia="楷体_GB2312" w:cs="楷体"/>
        </w:rPr>
      </w:pPr>
      <w:r>
        <w:rPr>
          <w:rFonts w:hint="eastAsia" w:ascii="楷体_GB2312" w:hAnsi="楷体" w:eastAsia="楷体_GB2312" w:cs="楷体"/>
          <w:snapToGrid/>
          <w:kern w:val="2"/>
        </w:rPr>
        <w:t xml:space="preserve">    第七章  监督管理</w:t>
      </w:r>
    </w:p>
    <w:p>
      <w:pPr>
        <w:spacing w:line="560" w:lineRule="exact"/>
        <w:rPr>
          <w:rFonts w:ascii="楷体_GB2312" w:hAnsi="楷体" w:eastAsia="楷体_GB2312" w:cs="楷体"/>
        </w:rPr>
      </w:pPr>
      <w:r>
        <w:rPr>
          <w:rFonts w:hint="eastAsia" w:ascii="楷体_GB2312" w:hAnsi="楷体" w:eastAsia="楷体_GB2312" w:cs="楷体"/>
          <w:snapToGrid/>
          <w:kern w:val="2"/>
        </w:rPr>
        <w:t xml:space="preserve">    第八章  法律责任</w:t>
      </w:r>
    </w:p>
    <w:p>
      <w:pPr>
        <w:spacing w:line="560" w:lineRule="exact"/>
        <w:rPr>
          <w:rFonts w:ascii="楷体_GB2312" w:eastAsia="楷体_GB2312"/>
          <w:bCs/>
        </w:rPr>
      </w:pPr>
      <w:r>
        <w:rPr>
          <w:rFonts w:hint="eastAsia" w:ascii="楷体_GB2312" w:hAnsi="楷体" w:eastAsia="楷体_GB2312" w:cs="楷体"/>
          <w:snapToGrid/>
          <w:kern w:val="2"/>
        </w:rPr>
        <w:t xml:space="preserve">    第九章  附则</w:t>
      </w:r>
      <w:bookmarkStart w:id="0" w:name="_Toc18071638"/>
      <w:r>
        <w:rPr>
          <w:rFonts w:hint="eastAsia" w:ascii="等线" w:hAnsi="楷体" w:eastAsia="等线" w:cs="楷体"/>
          <w:bCs/>
          <w:snapToGrid/>
          <w:kern w:val="2"/>
          <w:sz w:val="21"/>
          <w:szCs w:val="22"/>
        </w:rPr>
        <w:t xml:space="preserve">   </w:t>
      </w:r>
      <w:r>
        <w:rPr>
          <w:rStyle w:val="8"/>
          <w:rFonts w:hint="eastAsia" w:ascii="楷体_GB2312" w:hAnsi="等线" w:eastAsia="楷体_GB2312"/>
          <w:b w:val="0"/>
          <w:snapToGrid/>
          <w:kern w:val="2"/>
        </w:rPr>
        <w:t xml:space="preserve">         </w:t>
      </w:r>
      <w:bookmarkEnd w:id="0"/>
    </w:p>
    <w:p>
      <w:pPr>
        <w:spacing w:line="560" w:lineRule="exact"/>
      </w:pPr>
      <w:bookmarkStart w:id="1" w:name="_Toc21971180"/>
      <w:bookmarkStart w:id="2" w:name="_Toc18071637"/>
    </w:p>
    <w:p>
      <w:pPr>
        <w:spacing w:line="560" w:lineRule="exact"/>
        <w:jc w:val="center"/>
        <w:outlineLvl w:val="1"/>
        <w:rPr>
          <w:rFonts w:ascii="黑体" w:hAnsi="黑体" w:eastAsia="黑体"/>
          <w:bCs/>
          <w:kern w:val="2"/>
        </w:rPr>
      </w:pPr>
      <w:r>
        <w:rPr>
          <w:rFonts w:hint="eastAsia" w:ascii="黑体" w:hAnsi="黑体" w:eastAsia="黑体"/>
          <w:bCs/>
          <w:kern w:val="2"/>
        </w:rPr>
        <w:t>第一章  总则</w:t>
      </w:r>
      <w:bookmarkEnd w:id="1"/>
      <w:bookmarkEnd w:id="2"/>
    </w:p>
    <w:p>
      <w:pPr>
        <w:spacing w:line="560" w:lineRule="exact"/>
        <w:rPr>
          <w:rFonts w:ascii="仿宋_GB2312"/>
        </w:rPr>
      </w:pPr>
    </w:p>
    <w:p>
      <w:pPr>
        <w:spacing w:line="560" w:lineRule="exact"/>
        <w:ind w:firstLine="640" w:firstLineChars="200"/>
        <w:rPr>
          <w:rFonts w:ascii="仿宋_GB2312"/>
        </w:rPr>
      </w:pPr>
      <w:bookmarkStart w:id="3" w:name="_Toc21971181"/>
      <w:r>
        <w:rPr>
          <w:rFonts w:hint="eastAsia" w:ascii="黑体" w:hAnsi="黑体" w:eastAsia="黑体"/>
          <w:bCs/>
          <w:snapToGrid/>
          <w:kern w:val="2"/>
        </w:rPr>
        <w:t>第一条</w:t>
      </w:r>
      <w:bookmarkEnd w:id="3"/>
      <w:r>
        <w:rPr>
          <w:rFonts w:hint="eastAsia" w:ascii="黑体" w:hAnsi="黑体" w:eastAsia="黑体"/>
          <w:bCs/>
          <w:snapToGrid/>
          <w:kern w:val="2"/>
        </w:rPr>
        <w:t xml:space="preserve">  </w:t>
      </w:r>
      <w:r>
        <w:rPr>
          <w:rFonts w:hint="eastAsia" w:ascii="仿宋_GB2312" w:hAnsi="等线"/>
          <w:snapToGrid/>
          <w:kern w:val="2"/>
        </w:rPr>
        <w:t>为了积极应对人口老龄化，健全养老服务体系，满足老年人多样化、多层次养老服务需求，促进养老服务健康发展，根据《中华人民共和国老年人权益保障法》等法律、行政法规，结合本省实际，制定本条例。</w:t>
      </w:r>
    </w:p>
    <w:p>
      <w:pPr>
        <w:spacing w:line="560" w:lineRule="exact"/>
        <w:ind w:firstLine="640" w:firstLineChars="200"/>
        <w:rPr>
          <w:rFonts w:ascii="仿宋_GB2312"/>
        </w:rPr>
      </w:pPr>
      <w:bookmarkStart w:id="4" w:name="_Toc21971182"/>
      <w:bookmarkStart w:id="5" w:name="_Toc18071639"/>
      <w:r>
        <w:rPr>
          <w:rFonts w:hint="eastAsia" w:ascii="黑体" w:hAnsi="黑体" w:eastAsia="黑体"/>
          <w:bCs/>
          <w:snapToGrid/>
          <w:kern w:val="2"/>
        </w:rPr>
        <w:t>第二条</w:t>
      </w:r>
      <w:bookmarkEnd w:id="4"/>
      <w:bookmarkEnd w:id="5"/>
      <w:r>
        <w:rPr>
          <w:rFonts w:hint="eastAsia" w:ascii="黑体" w:hAnsi="黑体" w:eastAsia="黑体"/>
          <w:bCs/>
          <w:snapToGrid/>
          <w:kern w:val="2"/>
        </w:rPr>
        <w:t xml:space="preserve">  </w:t>
      </w:r>
      <w:r>
        <w:rPr>
          <w:rFonts w:hint="eastAsia" w:ascii="仿宋_GB2312" w:hAnsi="等线"/>
          <w:snapToGrid/>
          <w:kern w:val="2"/>
        </w:rPr>
        <w:t>本条例适用于本省行政区域内养老服务及其监督管理活动。</w:t>
      </w:r>
    </w:p>
    <w:p>
      <w:pPr>
        <w:spacing w:line="560" w:lineRule="exact"/>
        <w:ind w:firstLine="640" w:firstLineChars="200"/>
        <w:rPr>
          <w:rFonts w:ascii="仿宋_GB2312"/>
        </w:rPr>
      </w:pPr>
      <w:r>
        <w:rPr>
          <w:rFonts w:hint="eastAsia" w:ascii="仿宋_GB2312" w:hAnsi="等线"/>
          <w:snapToGrid/>
          <w:kern w:val="2"/>
        </w:rPr>
        <w:t>本条例所称养老服务，是指在家庭成员承担赡养、扶养义务的基础上，由政府和社会为老年人提供的生活照料、医疗保健、康复护理、文体娱乐、精神慰藉、紧急救援、临终</w:t>
      </w:r>
      <w:r>
        <w:rPr>
          <w:rFonts w:ascii="仿宋_GB2312" w:hAnsi="等线"/>
          <w:snapToGrid/>
          <w:kern w:val="2"/>
        </w:rPr>
        <w:t>关怀</w:t>
      </w:r>
      <w:r>
        <w:rPr>
          <w:rFonts w:hint="eastAsia" w:ascii="仿宋_GB2312" w:hAnsi="等线"/>
          <w:snapToGrid/>
          <w:kern w:val="2"/>
        </w:rPr>
        <w:t>等服务。</w:t>
      </w:r>
    </w:p>
    <w:p>
      <w:pPr>
        <w:spacing w:line="560" w:lineRule="exact"/>
        <w:ind w:firstLine="640" w:firstLineChars="200"/>
        <w:rPr>
          <w:rFonts w:ascii="仿宋_GB2312"/>
        </w:rPr>
      </w:pPr>
      <w:bookmarkStart w:id="6" w:name="_Toc18071640"/>
      <w:bookmarkStart w:id="7" w:name="_Toc21971183"/>
      <w:r>
        <w:rPr>
          <w:rFonts w:hint="eastAsia" w:ascii="黑体" w:hAnsi="黑体" w:eastAsia="黑体"/>
          <w:bCs/>
          <w:snapToGrid/>
          <w:kern w:val="2"/>
        </w:rPr>
        <w:t>第三条</w:t>
      </w:r>
      <w:bookmarkEnd w:id="6"/>
      <w:bookmarkEnd w:id="7"/>
      <w:r>
        <w:rPr>
          <w:rFonts w:hint="eastAsia" w:ascii="黑体" w:hAnsi="黑体" w:eastAsia="黑体"/>
          <w:bCs/>
          <w:snapToGrid/>
          <w:kern w:val="2"/>
        </w:rPr>
        <w:t xml:space="preserve">  </w:t>
      </w:r>
      <w:r>
        <w:rPr>
          <w:rFonts w:hint="eastAsia" w:ascii="仿宋_GB2312" w:hAnsi="等线"/>
          <w:snapToGrid/>
          <w:kern w:val="2"/>
        </w:rPr>
        <w:t>养老服务是社会公共服务体系的重要组成部分，养老服务发展应当与经济社会发展水平相适应，坚持政府主导、社会参与、市场运作、保障基本的原则。</w:t>
      </w:r>
    </w:p>
    <w:p>
      <w:pPr>
        <w:spacing w:line="560" w:lineRule="exact"/>
        <w:ind w:firstLine="640" w:firstLineChars="200"/>
        <w:rPr>
          <w:rFonts w:ascii="仿宋_GB2312"/>
        </w:rPr>
      </w:pPr>
      <w:bookmarkStart w:id="8" w:name="_Toc18071641"/>
      <w:bookmarkStart w:id="9" w:name="_Toc21971184"/>
      <w:r>
        <w:rPr>
          <w:rFonts w:hint="eastAsia" w:ascii="黑体" w:hAnsi="黑体" w:eastAsia="黑体"/>
          <w:bCs/>
          <w:snapToGrid/>
          <w:kern w:val="2"/>
        </w:rPr>
        <w:t>第四条</w:t>
      </w:r>
      <w:bookmarkEnd w:id="8"/>
      <w:bookmarkEnd w:id="9"/>
      <w:r>
        <w:rPr>
          <w:rFonts w:hint="eastAsia" w:ascii="黑体" w:hAnsi="黑体" w:eastAsia="黑体"/>
          <w:bCs/>
          <w:snapToGrid/>
          <w:kern w:val="2"/>
        </w:rPr>
        <w:t xml:space="preserve">  </w:t>
      </w:r>
      <w:r>
        <w:rPr>
          <w:rFonts w:hint="eastAsia" w:ascii="仿宋_GB2312" w:hAnsi="等线"/>
          <w:snapToGrid/>
          <w:kern w:val="2"/>
        </w:rPr>
        <w:t>县级以上人民政府应当加强对养老服务工作的领导，将养老服务发展纳入本地区国民经济和社会发展规划，制定养老服务发展规划，建立健全居家社区机构相协调、医养康养相结合的养老服务体系，保障养老服务事业发展经费。</w:t>
      </w:r>
    </w:p>
    <w:p>
      <w:pPr>
        <w:spacing w:line="560" w:lineRule="exact"/>
        <w:ind w:firstLine="640" w:firstLineChars="200"/>
        <w:rPr>
          <w:rFonts w:ascii="仿宋_GB2312"/>
        </w:rPr>
      </w:pPr>
      <w:r>
        <w:rPr>
          <w:rFonts w:hint="eastAsia" w:ascii="仿宋_GB2312" w:hAnsi="等线"/>
          <w:snapToGrid/>
          <w:kern w:val="2"/>
        </w:rPr>
        <w:t>乡镇人民政府、街道办事处负责本辖区内的养老服务工作。</w:t>
      </w:r>
    </w:p>
    <w:p>
      <w:pPr>
        <w:spacing w:line="560" w:lineRule="exact"/>
        <w:ind w:firstLine="640" w:firstLineChars="200"/>
        <w:rPr>
          <w:rFonts w:ascii="仿宋_GB2312"/>
        </w:rPr>
      </w:pPr>
      <w:bookmarkStart w:id="10" w:name="_Toc21971185"/>
      <w:bookmarkStart w:id="11" w:name="_Toc18071642"/>
      <w:r>
        <w:rPr>
          <w:rFonts w:hint="eastAsia" w:ascii="黑体" w:hAnsi="黑体" w:eastAsia="黑体"/>
          <w:bCs/>
          <w:snapToGrid/>
          <w:kern w:val="2"/>
        </w:rPr>
        <w:t>第五条</w:t>
      </w:r>
      <w:bookmarkEnd w:id="10"/>
      <w:bookmarkEnd w:id="11"/>
      <w:r>
        <w:rPr>
          <w:rFonts w:hint="eastAsia" w:ascii="黑体" w:hAnsi="黑体" w:eastAsia="黑体"/>
          <w:bCs/>
          <w:snapToGrid/>
          <w:kern w:val="2"/>
        </w:rPr>
        <w:t xml:space="preserve">  </w:t>
      </w:r>
      <w:r>
        <w:rPr>
          <w:rFonts w:hint="eastAsia" w:ascii="仿宋_GB2312" w:hAnsi="等线"/>
          <w:bCs/>
          <w:snapToGrid/>
          <w:kern w:val="2"/>
        </w:rPr>
        <w:t>县</w:t>
      </w:r>
      <w:r>
        <w:rPr>
          <w:rFonts w:hint="eastAsia" w:ascii="仿宋_GB2312" w:hAnsi="等线"/>
          <w:snapToGrid/>
          <w:kern w:val="2"/>
        </w:rPr>
        <w:t>级以上人民政府民政部门主管本行政区域内的养老服务工作。</w:t>
      </w:r>
    </w:p>
    <w:p>
      <w:pPr>
        <w:spacing w:line="560" w:lineRule="exact"/>
        <w:ind w:firstLine="640" w:firstLineChars="200"/>
        <w:rPr>
          <w:rFonts w:ascii="仿宋_GB2312"/>
        </w:rPr>
      </w:pPr>
      <w:r>
        <w:rPr>
          <w:rFonts w:hint="eastAsia" w:ascii="仿宋_GB2312" w:hAnsi="等线"/>
          <w:snapToGrid/>
          <w:kern w:val="2"/>
        </w:rPr>
        <w:t>县级以上人民政府卫生健康部门负责统筹推进医养结合和老年人健康服务工作；发展改革、财政、自然资源、住房城乡建设、应急管理、市场监督管理、医疗保障等部门按照各自职责，做好养老服务相关工作。</w:t>
      </w:r>
    </w:p>
    <w:p>
      <w:pPr>
        <w:spacing w:line="560" w:lineRule="exact"/>
        <w:ind w:firstLine="640" w:firstLineChars="200"/>
        <w:rPr>
          <w:rFonts w:ascii="仿宋_GB2312"/>
        </w:rPr>
      </w:pPr>
      <w:bookmarkStart w:id="12" w:name="_Toc21971186"/>
      <w:bookmarkStart w:id="13" w:name="_Toc18071643"/>
      <w:r>
        <w:rPr>
          <w:rFonts w:hint="eastAsia" w:ascii="黑体" w:hAnsi="黑体" w:eastAsia="黑体"/>
          <w:bCs/>
          <w:snapToGrid/>
          <w:kern w:val="2"/>
        </w:rPr>
        <w:t>第六条</w:t>
      </w:r>
      <w:bookmarkEnd w:id="12"/>
      <w:bookmarkEnd w:id="13"/>
      <w:r>
        <w:rPr>
          <w:rFonts w:hint="eastAsia" w:ascii="黑体" w:hAnsi="黑体" w:eastAsia="黑体"/>
          <w:bCs/>
          <w:snapToGrid/>
          <w:kern w:val="2"/>
        </w:rPr>
        <w:t xml:space="preserve">  </w:t>
      </w:r>
      <w:r>
        <w:rPr>
          <w:rFonts w:hint="eastAsia" w:ascii="仿宋_GB2312" w:hAnsi="等线"/>
          <w:snapToGrid/>
          <w:kern w:val="2"/>
        </w:rPr>
        <w:t>工会、共产主义青年团、妇女联合会、残疾人联合会、红十字会等单位应当发挥各自优势，协同做好养老服务工作。</w:t>
      </w:r>
    </w:p>
    <w:p>
      <w:pPr>
        <w:spacing w:line="560" w:lineRule="exact"/>
        <w:ind w:firstLine="640" w:firstLineChars="200"/>
        <w:rPr>
          <w:rFonts w:ascii="仿宋_GB2312"/>
        </w:rPr>
      </w:pPr>
      <w:r>
        <w:rPr>
          <w:rFonts w:hint="eastAsia" w:ascii="仿宋_GB2312" w:hAnsi="等线"/>
          <w:snapToGrid/>
          <w:kern w:val="2"/>
        </w:rPr>
        <w:t>居民委员会、村民委员会应当发挥基层群众性自治组织功能，</w:t>
      </w:r>
      <w:bookmarkStart w:id="14" w:name="_Toc18071644"/>
      <w:r>
        <w:rPr>
          <w:rFonts w:hint="eastAsia" w:ascii="仿宋_GB2312" w:hAnsi="等线"/>
          <w:snapToGrid/>
          <w:kern w:val="2"/>
        </w:rPr>
        <w:t>做好老年人的服务保障工作。</w:t>
      </w:r>
    </w:p>
    <w:p>
      <w:pPr>
        <w:spacing w:line="560" w:lineRule="exact"/>
        <w:ind w:firstLine="640" w:firstLineChars="200"/>
        <w:rPr>
          <w:rFonts w:ascii="仿宋_GB2312"/>
        </w:rPr>
      </w:pPr>
      <w:r>
        <w:rPr>
          <w:rFonts w:hint="eastAsia" w:ascii="仿宋_GB2312" w:hAnsi="等线"/>
          <w:snapToGrid/>
          <w:kern w:val="2"/>
        </w:rPr>
        <w:t>鼓励公民、法人和其他组织通过多</w:t>
      </w:r>
      <w:r>
        <w:rPr>
          <w:rFonts w:ascii="仿宋_GB2312" w:hAnsi="等线"/>
          <w:snapToGrid/>
          <w:kern w:val="2"/>
        </w:rPr>
        <w:t>种</w:t>
      </w:r>
      <w:r>
        <w:rPr>
          <w:rFonts w:hint="eastAsia" w:ascii="仿宋_GB2312" w:hAnsi="等线"/>
          <w:snapToGrid/>
          <w:kern w:val="2"/>
        </w:rPr>
        <w:t>方式</w:t>
      </w:r>
      <w:r>
        <w:rPr>
          <w:rFonts w:ascii="仿宋_GB2312" w:hAnsi="等线"/>
          <w:snapToGrid/>
          <w:kern w:val="2"/>
        </w:rPr>
        <w:t>提供</w:t>
      </w:r>
      <w:r>
        <w:rPr>
          <w:rFonts w:hint="eastAsia" w:ascii="仿宋_GB2312" w:hAnsi="等线"/>
          <w:snapToGrid/>
          <w:kern w:val="2"/>
        </w:rPr>
        <w:t>、</w:t>
      </w:r>
      <w:r>
        <w:rPr>
          <w:rFonts w:ascii="仿宋_GB2312" w:hAnsi="等线"/>
          <w:snapToGrid/>
          <w:kern w:val="2"/>
        </w:rPr>
        <w:t>参与</w:t>
      </w:r>
      <w:r>
        <w:rPr>
          <w:rFonts w:hint="eastAsia" w:ascii="仿宋_GB2312" w:hAnsi="等线"/>
          <w:snapToGrid/>
          <w:kern w:val="2"/>
        </w:rPr>
        <w:t>或者</w:t>
      </w:r>
      <w:r>
        <w:rPr>
          <w:rFonts w:ascii="仿宋_GB2312" w:hAnsi="等线"/>
          <w:snapToGrid/>
          <w:kern w:val="2"/>
        </w:rPr>
        <w:t>支持养老服务</w:t>
      </w:r>
      <w:r>
        <w:rPr>
          <w:rFonts w:hint="eastAsia" w:ascii="仿宋_GB2312" w:hAnsi="等线"/>
          <w:snapToGrid/>
          <w:kern w:val="2"/>
        </w:rPr>
        <w:t>。</w:t>
      </w:r>
    </w:p>
    <w:bookmarkEnd w:id="14"/>
    <w:p>
      <w:pPr>
        <w:spacing w:line="560" w:lineRule="exact"/>
        <w:ind w:firstLine="640" w:firstLineChars="200"/>
        <w:rPr>
          <w:rFonts w:ascii="仿宋_GB2312"/>
        </w:rPr>
      </w:pPr>
      <w:bookmarkStart w:id="15" w:name="_Toc18071645"/>
      <w:bookmarkStart w:id="16" w:name="_Toc21971187"/>
      <w:r>
        <w:rPr>
          <w:rFonts w:hint="eastAsia" w:ascii="黑体" w:hAnsi="黑体" w:eastAsia="黑体"/>
          <w:bCs/>
          <w:snapToGrid/>
          <w:kern w:val="2"/>
        </w:rPr>
        <w:t>第七条</w:t>
      </w:r>
      <w:bookmarkEnd w:id="15"/>
      <w:bookmarkEnd w:id="16"/>
      <w:r>
        <w:rPr>
          <w:rFonts w:hint="eastAsia" w:ascii="黑体" w:hAnsi="黑体" w:eastAsia="黑体"/>
          <w:bCs/>
          <w:snapToGrid/>
          <w:kern w:val="2"/>
        </w:rPr>
        <w:t xml:space="preserve">  </w:t>
      </w:r>
      <w:r>
        <w:rPr>
          <w:rFonts w:hint="eastAsia" w:ascii="仿宋_GB2312" w:hAnsi="等线"/>
          <w:snapToGrid/>
          <w:kern w:val="2"/>
        </w:rPr>
        <w:t>广播、电视、报刊、网络等新闻媒体应当践行社会主义核心价值观，加强养老服务的公益宣传，弘扬养老、孝老、敬老的传统美德</w:t>
      </w:r>
      <w:bookmarkStart w:id="17" w:name="_Toc18071646"/>
      <w:r>
        <w:rPr>
          <w:rFonts w:hint="eastAsia" w:ascii="仿宋_GB2312" w:hAnsi="等线"/>
          <w:snapToGrid/>
          <w:kern w:val="2"/>
        </w:rPr>
        <w:t>，树立尊重、关心、帮助老年人的社会风尚。</w:t>
      </w:r>
    </w:p>
    <w:p>
      <w:pPr>
        <w:spacing w:line="560" w:lineRule="exact"/>
        <w:ind w:firstLine="640" w:firstLineChars="200"/>
        <w:rPr>
          <w:rFonts w:ascii="仿宋_GB2312"/>
        </w:rPr>
      </w:pPr>
      <w:r>
        <w:rPr>
          <w:rFonts w:hint="eastAsia" w:ascii="仿宋_GB2312" w:hAnsi="等线"/>
          <w:snapToGrid/>
          <w:kern w:val="2"/>
        </w:rPr>
        <w:t>鼓励新闻媒体开设老年频道或者专题、专栏等，传播适合老年人的健身、康养、维权等知识，丰富老年人的精神文化生活。</w:t>
      </w:r>
    </w:p>
    <w:p>
      <w:pPr>
        <w:spacing w:line="560" w:lineRule="exact"/>
        <w:ind w:firstLine="640" w:firstLineChars="200"/>
        <w:rPr>
          <w:rFonts w:ascii="仿宋_GB2312"/>
        </w:rPr>
      </w:pPr>
      <w:bookmarkStart w:id="18" w:name="_Toc21971188"/>
      <w:r>
        <w:rPr>
          <w:rFonts w:hint="eastAsia" w:ascii="黑体" w:hAnsi="黑体" w:eastAsia="黑体"/>
          <w:bCs/>
          <w:snapToGrid/>
          <w:kern w:val="2"/>
        </w:rPr>
        <w:t>第八条</w:t>
      </w:r>
      <w:bookmarkEnd w:id="17"/>
      <w:bookmarkEnd w:id="18"/>
      <w:r>
        <w:rPr>
          <w:rFonts w:hint="eastAsia" w:ascii="黑体" w:hAnsi="黑体" w:eastAsia="黑体"/>
          <w:bCs/>
          <w:snapToGrid/>
          <w:kern w:val="2"/>
        </w:rPr>
        <w:t xml:space="preserve">  </w:t>
      </w:r>
      <w:r>
        <w:rPr>
          <w:rFonts w:hint="eastAsia" w:ascii="仿宋_GB2312" w:hAnsi="等线"/>
          <w:snapToGrid/>
          <w:kern w:val="2"/>
        </w:rPr>
        <w:t>对在养老服务中做出突出贡献的单位和个人，由县级以上人民政府和有关部门按照规定给予表彰和奖励。</w:t>
      </w:r>
      <w:bookmarkStart w:id="19" w:name="_Toc21971189"/>
      <w:bookmarkStart w:id="20" w:name="_Toc18071647"/>
    </w:p>
    <w:p>
      <w:pPr>
        <w:spacing w:line="560" w:lineRule="exact"/>
        <w:rPr>
          <w:rFonts w:ascii="黑体" w:hAnsi="黑体" w:eastAsia="黑体"/>
        </w:rPr>
      </w:pPr>
    </w:p>
    <w:p>
      <w:pPr>
        <w:spacing w:line="560" w:lineRule="exact"/>
        <w:jc w:val="center"/>
        <w:rPr>
          <w:rFonts w:ascii="仿宋_GB2312"/>
        </w:rPr>
      </w:pPr>
      <w:r>
        <w:rPr>
          <w:rFonts w:hint="eastAsia" w:ascii="黑体" w:hAnsi="黑体" w:eastAsia="黑体"/>
          <w:snapToGrid/>
          <w:kern w:val="2"/>
        </w:rPr>
        <w:t>第二章  养老服务设施规划和建设</w:t>
      </w:r>
      <w:bookmarkEnd w:id="19"/>
      <w:bookmarkEnd w:id="20"/>
    </w:p>
    <w:p>
      <w:pPr>
        <w:spacing w:line="560" w:lineRule="exact"/>
        <w:ind w:firstLine="640" w:firstLineChars="200"/>
        <w:rPr>
          <w:rFonts w:ascii="黑体" w:hAnsi="黑体" w:eastAsia="黑体"/>
        </w:rPr>
      </w:pPr>
      <w:bookmarkStart w:id="21" w:name="_Toc18071648"/>
      <w:bookmarkStart w:id="22" w:name="_Toc21971190"/>
    </w:p>
    <w:p>
      <w:pPr>
        <w:spacing w:line="560" w:lineRule="exact"/>
        <w:ind w:firstLine="640" w:firstLineChars="200"/>
        <w:rPr>
          <w:rFonts w:ascii="仿宋_GB2312"/>
          <w:bCs/>
        </w:rPr>
      </w:pPr>
      <w:r>
        <w:rPr>
          <w:rFonts w:hint="eastAsia" w:ascii="黑体" w:hAnsi="黑体" w:eastAsia="黑体"/>
          <w:bCs/>
          <w:snapToGrid/>
          <w:kern w:val="2"/>
        </w:rPr>
        <w:t xml:space="preserve">第九条  </w:t>
      </w:r>
      <w:r>
        <w:rPr>
          <w:rFonts w:hint="eastAsia" w:ascii="仿宋_GB2312" w:hAnsi="等线"/>
          <w:bCs/>
          <w:snapToGrid/>
          <w:kern w:val="2"/>
        </w:rPr>
        <w:t>设区的市、县（市）人民政府民政部门应当会同自然资源等部门，根据本行政区域国土空间规划、老年人分布以及变动等情况，编制养老服务设施布局规划，明确养老服务设施的总体布局、用地规模，纳入公共服务设施专项规划，征求社会公众意见后，报本级人民政府批准实施。</w:t>
      </w:r>
    </w:p>
    <w:p>
      <w:pPr>
        <w:spacing w:line="560" w:lineRule="exact"/>
        <w:ind w:firstLine="640" w:firstLineChars="200"/>
        <w:rPr>
          <w:rFonts w:ascii="仿宋_GB2312"/>
        </w:rPr>
      </w:pPr>
      <w:r>
        <w:rPr>
          <w:rFonts w:hint="eastAsia" w:ascii="仿宋_GB2312" w:hAnsi="等线"/>
          <w:snapToGrid/>
          <w:kern w:val="2"/>
        </w:rPr>
        <w:t>控制性详细规划、乡规划、村庄规划应当落实养老服务设施布局规划的有关内容。</w:t>
      </w:r>
    </w:p>
    <w:bookmarkEnd w:id="21"/>
    <w:bookmarkEnd w:id="22"/>
    <w:p>
      <w:pPr>
        <w:spacing w:line="560" w:lineRule="exact"/>
        <w:ind w:firstLine="640" w:firstLineChars="200"/>
        <w:rPr>
          <w:rFonts w:ascii="仿宋_GB2312"/>
          <w:bCs/>
        </w:rPr>
      </w:pPr>
      <w:bookmarkStart w:id="23" w:name="_Toc21971191"/>
      <w:bookmarkStart w:id="24" w:name="_Toc18071649"/>
      <w:r>
        <w:rPr>
          <w:rFonts w:hint="eastAsia" w:ascii="黑体" w:hAnsi="黑体" w:eastAsia="黑体"/>
          <w:bCs/>
          <w:snapToGrid/>
          <w:kern w:val="2"/>
        </w:rPr>
        <w:t>第十条</w:t>
      </w:r>
      <w:bookmarkEnd w:id="23"/>
      <w:bookmarkEnd w:id="24"/>
      <w:r>
        <w:rPr>
          <w:rFonts w:hint="eastAsia" w:ascii="黑体" w:hAnsi="黑体" w:eastAsia="黑体"/>
          <w:bCs/>
          <w:snapToGrid/>
          <w:kern w:val="2"/>
        </w:rPr>
        <w:t xml:space="preserve">  </w:t>
      </w:r>
      <w:r>
        <w:rPr>
          <w:rFonts w:hint="eastAsia" w:ascii="仿宋_GB2312" w:hAnsi="等线"/>
          <w:bCs/>
          <w:snapToGrid/>
          <w:kern w:val="2"/>
        </w:rPr>
        <w:t>省、设区的市、县（市）人民政府应当将民政部门纳入国土空间规划委员会。</w:t>
      </w:r>
    </w:p>
    <w:p>
      <w:pPr>
        <w:spacing w:line="560" w:lineRule="exact"/>
        <w:ind w:firstLine="640" w:firstLineChars="200"/>
        <w:rPr>
          <w:rFonts w:ascii="仿宋_GB2312"/>
        </w:rPr>
      </w:pPr>
      <w:r>
        <w:rPr>
          <w:rFonts w:hint="eastAsia" w:ascii="仿宋_GB2312" w:hAnsi="等线"/>
          <w:snapToGrid/>
          <w:kern w:val="2"/>
        </w:rPr>
        <w:t>各级人民政府应当根据国土空间规划，保障养老服务设施建设用地。</w:t>
      </w:r>
    </w:p>
    <w:p>
      <w:pPr>
        <w:spacing w:line="560" w:lineRule="exact"/>
        <w:ind w:firstLine="640" w:firstLineChars="200"/>
        <w:rPr>
          <w:rFonts w:ascii="仿宋_GB2312"/>
        </w:rPr>
      </w:pPr>
      <w:r>
        <w:rPr>
          <w:rFonts w:hint="eastAsia" w:ascii="仿宋_GB2312" w:hAnsi="等线"/>
          <w:snapToGrid/>
          <w:kern w:val="2"/>
        </w:rPr>
        <w:t>政府举办的敬老院、福利院等养老服务设施用地，应当采取划拨方式供应；其他非营利性养老服务设施用地，经依法批准可以采取划拨方式供应。</w:t>
      </w:r>
    </w:p>
    <w:p>
      <w:pPr>
        <w:spacing w:line="560" w:lineRule="exact"/>
        <w:ind w:firstLine="640" w:firstLineChars="200"/>
        <w:rPr>
          <w:rFonts w:ascii="仿宋_GB2312"/>
        </w:rPr>
      </w:pPr>
      <w:r>
        <w:rPr>
          <w:rFonts w:hint="eastAsia" w:ascii="仿宋_GB2312" w:hAnsi="等线"/>
          <w:snapToGrid/>
          <w:kern w:val="2"/>
        </w:rPr>
        <w:t>营利性养老服务设施建设用地，可以采取出让、租赁等方式供应。</w:t>
      </w:r>
    </w:p>
    <w:p>
      <w:pPr>
        <w:spacing w:line="560" w:lineRule="exact"/>
        <w:ind w:firstLine="640" w:firstLineChars="200"/>
        <w:rPr>
          <w:rFonts w:ascii="仿宋_GB2312"/>
        </w:rPr>
      </w:pPr>
      <w:r>
        <w:rPr>
          <w:rFonts w:hint="eastAsia" w:ascii="仿宋_GB2312" w:hAnsi="等线"/>
          <w:snapToGrid/>
          <w:kern w:val="2"/>
        </w:rPr>
        <w:t>符合国家和省规定要求的，可以使用农村集体建设用地建设养老服务设施。</w:t>
      </w:r>
    </w:p>
    <w:p>
      <w:pPr>
        <w:spacing w:line="560" w:lineRule="exact"/>
        <w:ind w:firstLine="640" w:firstLineChars="200"/>
        <w:rPr>
          <w:rFonts w:ascii="仿宋_GB2312"/>
        </w:rPr>
      </w:pPr>
      <w:bookmarkStart w:id="25" w:name="_Toc21971192"/>
      <w:bookmarkStart w:id="26" w:name="_Toc18071651"/>
      <w:r>
        <w:rPr>
          <w:rFonts w:hint="eastAsia" w:ascii="黑体" w:hAnsi="黑体" w:eastAsia="黑体"/>
          <w:bCs/>
          <w:snapToGrid/>
          <w:kern w:val="2"/>
        </w:rPr>
        <w:t>第十一条</w:t>
      </w:r>
      <w:bookmarkEnd w:id="25"/>
      <w:bookmarkEnd w:id="26"/>
      <w:r>
        <w:rPr>
          <w:rFonts w:hint="eastAsia" w:ascii="黑体" w:hAnsi="黑体" w:eastAsia="黑体"/>
          <w:bCs/>
          <w:snapToGrid/>
          <w:kern w:val="2"/>
        </w:rPr>
        <w:t xml:space="preserve">  </w:t>
      </w:r>
      <w:r>
        <w:rPr>
          <w:rFonts w:hint="eastAsia" w:ascii="仿宋_GB2312" w:hAnsi="等线"/>
          <w:snapToGrid/>
          <w:kern w:val="2"/>
        </w:rPr>
        <w:t>新建城镇居住区按照每一百户不低于二十平方米的标准配套建设社区养老服务设施。</w:t>
      </w:r>
    </w:p>
    <w:p>
      <w:pPr>
        <w:spacing w:line="560" w:lineRule="exact"/>
        <w:ind w:firstLine="640" w:firstLineChars="200"/>
        <w:rPr>
          <w:rFonts w:ascii="仿宋_GB2312"/>
        </w:rPr>
      </w:pPr>
      <w:r>
        <w:rPr>
          <w:rFonts w:hint="eastAsia" w:ascii="仿宋_GB2312" w:hAnsi="等线"/>
          <w:snapToGrid/>
          <w:kern w:val="2"/>
        </w:rPr>
        <w:t>已建成的城镇居住区未配套建设</w:t>
      </w:r>
      <w:r>
        <w:rPr>
          <w:rFonts w:hint="eastAsia" w:ascii="仿宋_GB2312" w:hAnsi="等线"/>
          <w:bCs/>
          <w:snapToGrid/>
          <w:kern w:val="2"/>
        </w:rPr>
        <w:t>或者建设的配套社区养老</w:t>
      </w:r>
      <w:r>
        <w:rPr>
          <w:rFonts w:hint="eastAsia" w:ascii="仿宋_GB2312" w:hAnsi="等线"/>
          <w:snapToGrid/>
          <w:kern w:val="2"/>
        </w:rPr>
        <w:t>服务设施不符合规定要求的，所在地县（市、区）人民政府应当通过新建、改建、购置、置换、租赁等方式配置社区养老服务设施。</w:t>
      </w:r>
    </w:p>
    <w:p>
      <w:pPr>
        <w:spacing w:line="560" w:lineRule="exact"/>
        <w:ind w:firstLine="640" w:firstLineChars="200"/>
        <w:rPr>
          <w:rFonts w:ascii="仿宋_GB2312"/>
        </w:rPr>
      </w:pPr>
      <w:r>
        <w:rPr>
          <w:rFonts w:hint="eastAsia" w:ascii="仿宋_GB2312" w:hAnsi="等线"/>
          <w:snapToGrid/>
          <w:kern w:val="2"/>
        </w:rPr>
        <w:t>多个占地面积较小</w:t>
      </w:r>
      <w:r>
        <w:rPr>
          <w:rFonts w:hint="eastAsia" w:ascii="仿宋_GB2312" w:hAnsi="等线"/>
          <w:bCs/>
          <w:snapToGrid/>
          <w:kern w:val="2"/>
        </w:rPr>
        <w:t>的居住区可以统筹配置社区</w:t>
      </w:r>
      <w:r>
        <w:rPr>
          <w:rFonts w:hint="eastAsia" w:ascii="仿宋_GB2312" w:hAnsi="等线"/>
          <w:snapToGrid/>
          <w:kern w:val="2"/>
        </w:rPr>
        <w:t>养老服务设施。</w:t>
      </w:r>
    </w:p>
    <w:p>
      <w:pPr>
        <w:spacing w:line="560" w:lineRule="exact"/>
        <w:ind w:firstLine="640" w:firstLineChars="200"/>
        <w:rPr>
          <w:rFonts w:ascii="仿宋_GB2312"/>
        </w:rPr>
      </w:pPr>
      <w:bookmarkStart w:id="27" w:name="_Toc21971193"/>
      <w:r>
        <w:rPr>
          <w:rFonts w:hint="eastAsia" w:ascii="黑体" w:hAnsi="黑体" w:eastAsia="黑体"/>
          <w:bCs/>
          <w:snapToGrid/>
          <w:kern w:val="2"/>
        </w:rPr>
        <w:t>第十二条</w:t>
      </w:r>
      <w:bookmarkEnd w:id="27"/>
      <w:r>
        <w:rPr>
          <w:rFonts w:hint="eastAsia" w:ascii="黑体" w:hAnsi="黑体" w:eastAsia="黑体"/>
          <w:bCs/>
          <w:snapToGrid/>
          <w:kern w:val="2"/>
        </w:rPr>
        <w:t xml:space="preserve">  </w:t>
      </w:r>
      <w:r>
        <w:rPr>
          <w:rFonts w:hint="eastAsia" w:ascii="仿宋_GB2312" w:hAnsi="等线"/>
          <w:snapToGrid/>
          <w:kern w:val="2"/>
        </w:rPr>
        <w:t>县级以上人民政府自然资源部门在提出居住用地规划条件时，应当明确配套社区养老服务设施同步规划设计要求，确定地块位置、使用性质、开发强度等内容；在审查城镇居住区建设项目设计方案前，应当征求同级民政部门意见。</w:t>
      </w:r>
    </w:p>
    <w:p>
      <w:pPr>
        <w:spacing w:line="560" w:lineRule="exact"/>
        <w:ind w:firstLine="640" w:firstLineChars="200"/>
        <w:rPr>
          <w:rFonts w:ascii="仿宋_GB2312"/>
        </w:rPr>
      </w:pPr>
      <w:bookmarkStart w:id="28" w:name="_Toc18071652"/>
      <w:bookmarkStart w:id="29" w:name="_Toc21971194"/>
      <w:r>
        <w:rPr>
          <w:rFonts w:hint="eastAsia" w:ascii="黑体" w:hAnsi="黑体" w:eastAsia="黑体"/>
          <w:bCs/>
          <w:snapToGrid/>
          <w:kern w:val="2"/>
        </w:rPr>
        <w:t>第十三条</w:t>
      </w:r>
      <w:bookmarkEnd w:id="28"/>
      <w:bookmarkEnd w:id="29"/>
      <w:r>
        <w:rPr>
          <w:rFonts w:hint="eastAsia" w:ascii="黑体" w:hAnsi="黑体" w:eastAsia="黑体"/>
          <w:bCs/>
          <w:snapToGrid/>
          <w:kern w:val="2"/>
        </w:rPr>
        <w:t xml:space="preserve">  </w:t>
      </w:r>
      <w:r>
        <w:rPr>
          <w:rFonts w:hint="eastAsia" w:ascii="仿宋_GB2312" w:hAnsi="等线"/>
          <w:snapToGrid/>
          <w:kern w:val="2"/>
        </w:rPr>
        <w:t>设区的市、县（市）人民政府住房城乡建设部门应当会同民政、自然资源等部门，在房地产开发项目建设条件意见书中明确社区养老服务设施的建设标准、投资来源、产权归属、完成时限、移交方式等内容。</w:t>
      </w:r>
    </w:p>
    <w:p>
      <w:pPr>
        <w:spacing w:line="560" w:lineRule="exact"/>
        <w:ind w:firstLine="640" w:firstLineChars="200"/>
        <w:rPr>
          <w:rFonts w:ascii="仿宋_GB2312"/>
          <w:bCs/>
        </w:rPr>
      </w:pPr>
      <w:bookmarkStart w:id="30" w:name="_Toc21971195"/>
      <w:r>
        <w:rPr>
          <w:rFonts w:hint="eastAsia" w:ascii="黑体" w:hAnsi="黑体" w:eastAsia="黑体"/>
          <w:bCs/>
          <w:snapToGrid/>
          <w:kern w:val="2"/>
        </w:rPr>
        <w:t>第十四条</w:t>
      </w:r>
      <w:bookmarkEnd w:id="30"/>
      <w:r>
        <w:rPr>
          <w:rFonts w:hint="eastAsia" w:ascii="黑体" w:hAnsi="黑体" w:eastAsia="黑体"/>
          <w:bCs/>
          <w:snapToGrid/>
          <w:kern w:val="2"/>
        </w:rPr>
        <w:t xml:space="preserve">  </w:t>
      </w:r>
      <w:r>
        <w:rPr>
          <w:rFonts w:hint="eastAsia" w:ascii="仿宋_GB2312" w:hAnsi="等线"/>
          <w:snapToGrid/>
          <w:kern w:val="2"/>
        </w:rPr>
        <w:t>建设单位应当按照核准的规划要求配套建设社区养老服务设施。配套社区养老服务设施与住宅建设项目同步规划、</w:t>
      </w:r>
      <w:r>
        <w:rPr>
          <w:rFonts w:hint="eastAsia" w:ascii="仿宋_GB2312" w:hAnsi="等线"/>
          <w:bCs/>
          <w:snapToGrid/>
          <w:kern w:val="2"/>
        </w:rPr>
        <w:t>同步建设、同步验收、同步交付使用</w:t>
      </w:r>
      <w:bookmarkStart w:id="31" w:name="_Toc18071653"/>
      <w:r>
        <w:rPr>
          <w:rFonts w:hint="eastAsia" w:ascii="仿宋_GB2312" w:hAnsi="等线"/>
          <w:bCs/>
          <w:snapToGrid/>
          <w:kern w:val="2"/>
        </w:rPr>
        <w:t>。</w:t>
      </w:r>
    </w:p>
    <w:p>
      <w:pPr>
        <w:spacing w:line="560" w:lineRule="exact"/>
        <w:ind w:firstLine="640" w:firstLineChars="200"/>
        <w:rPr>
          <w:rFonts w:ascii="仿宋_GB2312"/>
          <w:bCs/>
        </w:rPr>
      </w:pPr>
      <w:r>
        <w:rPr>
          <w:rFonts w:hint="eastAsia" w:ascii="仿宋_GB2312" w:hAnsi="等线"/>
          <w:bCs/>
          <w:snapToGrid/>
          <w:kern w:val="2"/>
        </w:rPr>
        <w:t>县级以上人民政府自然资源部门依法对配套社区养老服务设施建设是否符合规划条件予以核实，未经核实或者经核实不符合规划条件的，建设单位不得组织竣工验收。</w:t>
      </w:r>
    </w:p>
    <w:bookmarkEnd w:id="31"/>
    <w:p>
      <w:pPr>
        <w:spacing w:line="560" w:lineRule="exact"/>
        <w:ind w:firstLine="640" w:firstLineChars="200"/>
        <w:rPr>
          <w:rFonts w:ascii="仿宋_GB2312"/>
        </w:rPr>
      </w:pPr>
      <w:bookmarkStart w:id="32" w:name="_Toc21971196"/>
      <w:bookmarkStart w:id="33" w:name="_Toc18071654"/>
      <w:r>
        <w:rPr>
          <w:rFonts w:hint="eastAsia" w:ascii="黑体" w:hAnsi="黑体" w:eastAsia="黑体"/>
          <w:bCs/>
          <w:snapToGrid/>
          <w:kern w:val="2"/>
        </w:rPr>
        <w:t>第十五条</w:t>
      </w:r>
      <w:bookmarkEnd w:id="32"/>
      <w:bookmarkEnd w:id="33"/>
      <w:bookmarkStart w:id="34" w:name="_Toc18071655"/>
      <w:r>
        <w:rPr>
          <w:rFonts w:hint="eastAsia" w:ascii="黑体" w:hAnsi="黑体" w:eastAsia="黑体"/>
          <w:bCs/>
          <w:snapToGrid/>
          <w:kern w:val="2"/>
        </w:rPr>
        <w:t xml:space="preserve">  </w:t>
      </w:r>
      <w:r>
        <w:rPr>
          <w:rFonts w:hint="eastAsia" w:ascii="仿宋_GB2312" w:hAnsi="等线"/>
          <w:snapToGrid/>
          <w:kern w:val="2"/>
        </w:rPr>
        <w:t>对新建的城镇居住区配套社区养老服务设施，房地产开发项目建设条件意见书确定养老服务设施权属归政府的，建设单位应当按照约定的移交方式，自竣工验收合格之日起三个月内将设施以及有关建设资料全部无偿移交所在地县（市、区）人民政府民政部门，用于开展非营利性养老服务。</w:t>
      </w:r>
    </w:p>
    <w:p>
      <w:pPr>
        <w:spacing w:line="560" w:lineRule="exact"/>
        <w:ind w:firstLine="640" w:firstLineChars="200"/>
        <w:rPr>
          <w:rFonts w:ascii="仿宋_GB2312"/>
        </w:rPr>
      </w:pPr>
      <w:bookmarkStart w:id="35" w:name="_Toc21971197"/>
      <w:r>
        <w:rPr>
          <w:rFonts w:hint="eastAsia" w:ascii="黑体" w:hAnsi="黑体" w:eastAsia="黑体"/>
          <w:bCs/>
          <w:snapToGrid/>
          <w:kern w:val="2"/>
        </w:rPr>
        <w:t xml:space="preserve">第十六条  </w:t>
      </w:r>
      <w:r>
        <w:rPr>
          <w:rFonts w:ascii="仿宋_GB2312" w:hAnsi="等线"/>
          <w:snapToGrid/>
          <w:kern w:val="2"/>
        </w:rPr>
        <w:t>县（市、区）人民政府民政部门应当将城镇居住区配套建设、配置的</w:t>
      </w:r>
      <w:r>
        <w:rPr>
          <w:rFonts w:hint="eastAsia" w:ascii="仿宋_GB2312" w:hAnsi="等线"/>
          <w:snapToGrid/>
          <w:kern w:val="2"/>
        </w:rPr>
        <w:t>社区</w:t>
      </w:r>
      <w:r>
        <w:rPr>
          <w:rFonts w:ascii="仿宋_GB2312" w:hAnsi="等线"/>
          <w:snapToGrid/>
          <w:kern w:val="2"/>
        </w:rPr>
        <w:t>养老服务设施，通过</w:t>
      </w:r>
      <w:r>
        <w:rPr>
          <w:rFonts w:hint="eastAsia" w:ascii="仿宋_GB2312" w:hAnsi="等线"/>
          <w:snapToGrid/>
          <w:kern w:val="2"/>
        </w:rPr>
        <w:t>公开竞争等</w:t>
      </w:r>
      <w:r>
        <w:rPr>
          <w:rFonts w:ascii="仿宋_GB2312" w:hAnsi="等线"/>
          <w:snapToGrid/>
          <w:kern w:val="2"/>
        </w:rPr>
        <w:t>方式无偿或者低偿委托养老服务组织运营。</w:t>
      </w:r>
    </w:p>
    <w:bookmarkEnd w:id="34"/>
    <w:bookmarkEnd w:id="35"/>
    <w:p>
      <w:pPr>
        <w:spacing w:line="560" w:lineRule="exact"/>
        <w:ind w:firstLine="640" w:firstLineChars="200"/>
        <w:rPr>
          <w:rFonts w:ascii="仿宋_GB2312"/>
        </w:rPr>
      </w:pPr>
      <w:r>
        <w:rPr>
          <w:rFonts w:hint="eastAsia" w:ascii="黑体" w:hAnsi="黑体" w:eastAsia="黑体"/>
          <w:bCs/>
          <w:snapToGrid/>
          <w:kern w:val="2"/>
        </w:rPr>
        <w:t xml:space="preserve">第十七条  </w:t>
      </w:r>
      <w:r>
        <w:rPr>
          <w:rFonts w:hint="eastAsia" w:ascii="仿宋_GB2312" w:hAnsi="等线"/>
          <w:snapToGrid/>
          <w:kern w:val="2"/>
        </w:rPr>
        <w:t>具备条件的闲置办公用房、学校、宾馆、医院、疗养院、厂房、商业设施等，可以改造为养老服务设施，有关部门应当简化办事程序，及时办理相关手续,并加强监督管理。</w:t>
      </w:r>
    </w:p>
    <w:p>
      <w:pPr>
        <w:spacing w:line="560" w:lineRule="exact"/>
        <w:ind w:firstLine="640" w:firstLineChars="200"/>
        <w:rPr>
          <w:rFonts w:ascii="仿宋_GB2312"/>
        </w:rPr>
      </w:pPr>
      <w:r>
        <w:rPr>
          <w:rFonts w:hint="eastAsia" w:ascii="黑体" w:hAnsi="黑体" w:eastAsia="黑体"/>
          <w:bCs/>
          <w:snapToGrid/>
          <w:kern w:val="2"/>
        </w:rPr>
        <w:t xml:space="preserve">第十八条  </w:t>
      </w:r>
      <w:r>
        <w:rPr>
          <w:rFonts w:hint="eastAsia" w:ascii="仿宋_GB2312" w:hAnsi="等线"/>
          <w:snapToGrid/>
          <w:kern w:val="2"/>
        </w:rPr>
        <w:t>各级人民政府应当完善优惠扶持措施，支持农村集体经济组织、村民委员会、社会力量建设互助幸福院、养老院、养老周转房等养老服务设施，因地制宜为农村老年人提供互助养老、日间照料、托养居住、配餐送餐等多样化养老服务。</w:t>
      </w:r>
    </w:p>
    <w:p>
      <w:pPr>
        <w:spacing w:line="560" w:lineRule="exact"/>
        <w:ind w:firstLine="640" w:firstLineChars="200"/>
        <w:rPr>
          <w:rFonts w:ascii="仿宋_GB2312"/>
        </w:rPr>
      </w:pPr>
      <w:r>
        <w:rPr>
          <w:rFonts w:hint="eastAsia" w:ascii="黑体" w:hAnsi="黑体" w:eastAsia="黑体"/>
          <w:bCs/>
          <w:snapToGrid/>
          <w:kern w:val="2"/>
        </w:rPr>
        <w:t xml:space="preserve">第十九条  </w:t>
      </w:r>
      <w:r>
        <w:rPr>
          <w:rFonts w:hint="eastAsia" w:ascii="仿宋_GB2312" w:hAnsi="等线"/>
          <w:snapToGrid/>
          <w:kern w:val="2"/>
        </w:rPr>
        <w:t>养老服务设施应当按照国家和省规定的建设标准和技术规范进行建设，并符合无障碍环境、消防安全、环境保护、卫生防疫等要求。</w:t>
      </w:r>
    </w:p>
    <w:p>
      <w:pPr>
        <w:spacing w:line="560" w:lineRule="exact"/>
        <w:ind w:firstLine="640" w:firstLineChars="200"/>
        <w:rPr>
          <w:rFonts w:ascii="仿宋_GB2312"/>
        </w:rPr>
      </w:pPr>
      <w:r>
        <w:rPr>
          <w:rFonts w:hint="eastAsia" w:ascii="黑体" w:hAnsi="黑体" w:eastAsia="黑体"/>
          <w:bCs/>
          <w:snapToGrid/>
          <w:kern w:val="2"/>
        </w:rPr>
        <w:t xml:space="preserve">第二十条  </w:t>
      </w:r>
      <w:r>
        <w:rPr>
          <w:rFonts w:hint="eastAsia" w:ascii="仿宋_GB2312" w:hAnsi="等线"/>
          <w:snapToGrid/>
          <w:kern w:val="2"/>
        </w:rPr>
        <w:t>新建、改建和扩建居住区应当符合国家无</w:t>
      </w:r>
      <w:r>
        <w:rPr>
          <w:rFonts w:ascii="仿宋_GB2312" w:hAnsi="等线"/>
          <w:snapToGrid/>
          <w:kern w:val="2"/>
        </w:rPr>
        <w:t>障碍设施</w:t>
      </w:r>
      <w:r>
        <w:rPr>
          <w:rFonts w:hint="eastAsia" w:ascii="仿宋_GB2312" w:hAnsi="等线"/>
          <w:snapToGrid/>
          <w:kern w:val="2"/>
        </w:rPr>
        <w:t>工程建设标准。</w:t>
      </w:r>
    </w:p>
    <w:p>
      <w:pPr>
        <w:spacing w:line="560" w:lineRule="exact"/>
        <w:ind w:firstLine="640" w:firstLineChars="200"/>
        <w:rPr>
          <w:rFonts w:ascii="仿宋_GB2312"/>
        </w:rPr>
      </w:pPr>
      <w:r>
        <w:rPr>
          <w:rFonts w:hint="eastAsia" w:ascii="仿宋_GB2312" w:hAnsi="等线"/>
          <w:snapToGrid/>
          <w:kern w:val="2"/>
        </w:rPr>
        <w:t>县级人民政府应当加快已建成住宅小区公共服务设施的适老化无障碍改造，推进老旧小区的坡道、楼梯扶手、电梯等与老年人日常生活密切相关的生活服务设施的改造；推动和扶持老年人家庭无障碍设施的改造，为老年人创造无障碍居住环境。</w:t>
      </w:r>
    </w:p>
    <w:p>
      <w:pPr>
        <w:spacing w:line="560" w:lineRule="exact"/>
        <w:ind w:firstLine="640" w:firstLineChars="200"/>
        <w:rPr>
          <w:rFonts w:ascii="仿宋_GB2312"/>
        </w:rPr>
      </w:pPr>
      <w:r>
        <w:rPr>
          <w:rFonts w:hint="eastAsia" w:ascii="黑体" w:hAnsi="黑体" w:eastAsia="黑体"/>
          <w:bCs/>
          <w:snapToGrid/>
          <w:kern w:val="2"/>
        </w:rPr>
        <w:t xml:space="preserve">第二十一条  </w:t>
      </w:r>
      <w:r>
        <w:rPr>
          <w:rFonts w:hint="eastAsia" w:ascii="仿宋_GB2312" w:hAnsi="等线"/>
          <w:snapToGrid/>
          <w:kern w:val="2"/>
        </w:rPr>
        <w:t>未经法定程序，任何组织和个人不得擅自改变养老服务设施建设用地用途或者依法规划建设、配置的养老服务设施使用性质。</w:t>
      </w:r>
      <w:bookmarkStart w:id="36" w:name="_Toc21971202"/>
      <w:bookmarkStart w:id="37" w:name="_Toc18071659"/>
    </w:p>
    <w:p>
      <w:pPr>
        <w:spacing w:line="560" w:lineRule="exact"/>
        <w:jc w:val="center"/>
        <w:rPr>
          <w:rFonts w:ascii="仿宋_GB2312"/>
        </w:rPr>
      </w:pPr>
    </w:p>
    <w:p>
      <w:pPr>
        <w:spacing w:line="560" w:lineRule="exact"/>
        <w:jc w:val="center"/>
        <w:rPr>
          <w:rFonts w:ascii="仿宋_GB2312"/>
        </w:rPr>
      </w:pPr>
      <w:r>
        <w:rPr>
          <w:rFonts w:hint="eastAsia" w:ascii="黑体" w:hAnsi="黑体" w:eastAsia="黑体"/>
          <w:snapToGrid/>
          <w:kern w:val="2"/>
        </w:rPr>
        <w:t>第三章  居家社区养老服务</w:t>
      </w:r>
      <w:bookmarkEnd w:id="36"/>
      <w:bookmarkEnd w:id="37"/>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hAnsi="黑体" w:eastAsia="黑体"/>
          <w:bCs/>
          <w:snapToGrid/>
          <w:kern w:val="2"/>
        </w:rPr>
        <w:t xml:space="preserve">第二十二条  </w:t>
      </w:r>
      <w:r>
        <w:rPr>
          <w:rFonts w:hint="eastAsia" w:ascii="仿宋_GB2312" w:hAnsi="等线"/>
          <w:snapToGrid/>
          <w:kern w:val="2"/>
        </w:rPr>
        <w:t>县级以上人民政府应当加大财政投入，完善居家社区养老服务政策和基本公共服务，推动和支持企业事业单位、社会组织等为城乡老年人提供多样化居家社区养老服务。</w:t>
      </w:r>
    </w:p>
    <w:p>
      <w:pPr>
        <w:spacing w:line="560" w:lineRule="exact"/>
        <w:ind w:firstLine="640" w:firstLineChars="200"/>
        <w:rPr>
          <w:rFonts w:ascii="仿宋_GB2312"/>
        </w:rPr>
      </w:pPr>
      <w:r>
        <w:rPr>
          <w:rFonts w:hint="eastAsia" w:ascii="仿宋_GB2312" w:hAnsi="等线"/>
          <w:snapToGrid/>
          <w:kern w:val="2"/>
        </w:rPr>
        <w:t>居家社区养老服务主要包括下列内容：</w:t>
      </w:r>
    </w:p>
    <w:p>
      <w:pPr>
        <w:spacing w:line="560" w:lineRule="exact"/>
        <w:ind w:firstLine="640" w:firstLineChars="200"/>
        <w:rPr>
          <w:rFonts w:ascii="仿宋_GB2312"/>
        </w:rPr>
      </w:pPr>
      <w:r>
        <w:rPr>
          <w:rFonts w:hint="eastAsia" w:ascii="仿宋_GB2312" w:hAnsi="等线"/>
          <w:snapToGrid/>
          <w:kern w:val="2"/>
        </w:rPr>
        <w:t>（一）生活照料、餐饮配送、保洁、助浴、辅助出行等日常生活服务；</w:t>
      </w:r>
    </w:p>
    <w:p>
      <w:pPr>
        <w:spacing w:line="560" w:lineRule="exact"/>
        <w:ind w:firstLine="640" w:firstLineChars="200"/>
        <w:rPr>
          <w:rFonts w:ascii="仿宋_GB2312"/>
        </w:rPr>
      </w:pPr>
      <w:r>
        <w:rPr>
          <w:rFonts w:hint="eastAsia" w:ascii="仿宋_GB2312" w:hAnsi="等线"/>
          <w:snapToGrid/>
          <w:kern w:val="2"/>
        </w:rPr>
        <w:t>（二）健康体检、家庭病床、医疗康复、临终关怀等健康护理服务；</w:t>
      </w:r>
    </w:p>
    <w:p>
      <w:pPr>
        <w:spacing w:line="560" w:lineRule="exact"/>
        <w:ind w:firstLine="640" w:firstLineChars="200"/>
        <w:rPr>
          <w:rFonts w:ascii="仿宋_GB2312"/>
        </w:rPr>
      </w:pPr>
      <w:r>
        <w:rPr>
          <w:rFonts w:hint="eastAsia" w:ascii="仿宋_GB2312" w:hAnsi="等线"/>
          <w:snapToGrid/>
          <w:kern w:val="2"/>
        </w:rPr>
        <w:t>（三）关怀访视、生活陪伴、心理咨询与服务等精神慰藉服务；</w:t>
      </w:r>
    </w:p>
    <w:p>
      <w:pPr>
        <w:spacing w:line="560" w:lineRule="exact"/>
        <w:ind w:firstLine="640" w:firstLineChars="200"/>
        <w:rPr>
          <w:rFonts w:ascii="仿宋_GB2312"/>
        </w:rPr>
      </w:pPr>
      <w:r>
        <w:rPr>
          <w:rFonts w:hint="eastAsia" w:ascii="仿宋_GB2312" w:hAnsi="等线"/>
          <w:snapToGrid/>
          <w:kern w:val="2"/>
        </w:rPr>
        <w:t>（四）安全指导、紧急救援服务；</w:t>
      </w:r>
    </w:p>
    <w:p>
      <w:pPr>
        <w:spacing w:line="560" w:lineRule="exact"/>
        <w:ind w:firstLine="640" w:firstLineChars="200"/>
        <w:rPr>
          <w:rFonts w:ascii="仿宋_GB2312"/>
        </w:rPr>
      </w:pPr>
      <w:r>
        <w:rPr>
          <w:rFonts w:hint="eastAsia" w:ascii="仿宋_GB2312" w:hAnsi="等线"/>
          <w:snapToGrid/>
          <w:kern w:val="2"/>
        </w:rPr>
        <w:t>（五）法律咨询、法律援助、人民调解服务；</w:t>
      </w:r>
    </w:p>
    <w:p>
      <w:pPr>
        <w:spacing w:line="560" w:lineRule="exact"/>
        <w:ind w:firstLine="640" w:firstLineChars="200"/>
        <w:rPr>
          <w:rFonts w:ascii="仿宋_GB2312"/>
        </w:rPr>
      </w:pPr>
      <w:r>
        <w:rPr>
          <w:rFonts w:hint="eastAsia" w:ascii="仿宋_GB2312" w:hAnsi="等线"/>
          <w:snapToGrid/>
          <w:kern w:val="2"/>
        </w:rPr>
        <w:t>（六）文化娱乐、体育健身、休闲养生等服务。</w:t>
      </w:r>
    </w:p>
    <w:p>
      <w:pPr>
        <w:spacing w:line="560" w:lineRule="exact"/>
        <w:ind w:firstLine="640" w:firstLineChars="200"/>
        <w:rPr>
          <w:rFonts w:ascii="仿宋_GB2312"/>
        </w:rPr>
      </w:pPr>
      <w:r>
        <w:rPr>
          <w:rFonts w:hint="eastAsia" w:ascii="黑体" w:hAnsi="黑体" w:eastAsia="黑体"/>
          <w:bCs/>
          <w:snapToGrid/>
          <w:kern w:val="2"/>
        </w:rPr>
        <w:t xml:space="preserve">第二十三条  </w:t>
      </w:r>
      <w:r>
        <w:rPr>
          <w:rFonts w:hint="eastAsia" w:ascii="仿宋_GB2312" w:hAnsi="等线"/>
          <w:snapToGrid/>
          <w:kern w:val="2"/>
        </w:rPr>
        <w:t>从事居家社区养老服务的组织，应当依法办理企业注册登记或者社会服务机构登记。</w:t>
      </w:r>
    </w:p>
    <w:p>
      <w:pPr>
        <w:spacing w:line="560" w:lineRule="exact"/>
        <w:ind w:firstLine="640" w:firstLineChars="200"/>
        <w:rPr>
          <w:rFonts w:ascii="仿宋_GB2312"/>
        </w:rPr>
      </w:pPr>
      <w:r>
        <w:rPr>
          <w:rFonts w:hint="eastAsia" w:ascii="仿宋_GB2312" w:hAnsi="等线"/>
          <w:snapToGrid/>
          <w:kern w:val="2"/>
        </w:rPr>
        <w:t>从事居家社区养老服务的组织，应当建立健全规章制度，配备与服务规模相适应的场所、设施设备和工作人员，规范服务流程，按照有关规定合理确定收费标准，并接受服务对象、政府和社会的监督。</w:t>
      </w:r>
    </w:p>
    <w:p>
      <w:pPr>
        <w:spacing w:line="560" w:lineRule="exact"/>
        <w:ind w:firstLine="640" w:firstLineChars="200"/>
        <w:rPr>
          <w:rFonts w:ascii="仿宋_GB2312"/>
        </w:rPr>
      </w:pPr>
      <w:r>
        <w:rPr>
          <w:rFonts w:hint="eastAsia" w:ascii="黑体" w:hAnsi="黑体" w:eastAsia="黑体"/>
          <w:bCs/>
          <w:snapToGrid/>
          <w:kern w:val="2"/>
        </w:rPr>
        <w:t xml:space="preserve">第二十四条  </w:t>
      </w:r>
      <w:r>
        <w:rPr>
          <w:rFonts w:hint="eastAsia" w:ascii="仿宋_GB2312" w:hAnsi="等线"/>
          <w:snapToGrid/>
          <w:kern w:val="2"/>
        </w:rPr>
        <w:t>县级以上人民政府应当采取下列措施，引导社会力量开展居家社区养老服务：</w:t>
      </w:r>
    </w:p>
    <w:p>
      <w:pPr>
        <w:spacing w:line="560" w:lineRule="exact"/>
        <w:ind w:firstLine="640" w:firstLineChars="200"/>
        <w:rPr>
          <w:rFonts w:ascii="仿宋_GB2312"/>
        </w:rPr>
      </w:pPr>
      <w:r>
        <w:rPr>
          <w:rFonts w:hint="eastAsia" w:ascii="仿宋_GB2312" w:hAnsi="等线"/>
          <w:snapToGrid/>
          <w:kern w:val="2"/>
        </w:rPr>
        <w:t>（一）鼓励单位和个人利用居住区附近闲置的场所和设施，依法开展嵌入式养老服务；</w:t>
      </w:r>
    </w:p>
    <w:p>
      <w:pPr>
        <w:spacing w:line="560" w:lineRule="exact"/>
        <w:ind w:firstLine="640" w:firstLineChars="200"/>
        <w:rPr>
          <w:rFonts w:ascii="仿宋_GB2312"/>
        </w:rPr>
      </w:pPr>
      <w:r>
        <w:rPr>
          <w:rFonts w:hint="eastAsia" w:ascii="仿宋_GB2312" w:hAnsi="等线"/>
          <w:snapToGrid/>
          <w:kern w:val="2"/>
        </w:rPr>
        <w:t>（二）鼓励家政、物业等企业发挥自身优势，为老年人提供多样化养老服务；</w:t>
      </w:r>
    </w:p>
    <w:p>
      <w:pPr>
        <w:spacing w:line="560" w:lineRule="exact"/>
        <w:ind w:firstLine="640" w:firstLineChars="200"/>
        <w:rPr>
          <w:rFonts w:ascii="仿宋_GB2312"/>
        </w:rPr>
      </w:pPr>
      <w:r>
        <w:rPr>
          <w:rFonts w:hint="eastAsia" w:ascii="仿宋_GB2312" w:hAnsi="等线"/>
          <w:snapToGrid/>
          <w:kern w:val="2"/>
        </w:rPr>
        <w:t>（三）鼓励养老机构利用自身设施、服务资源和服务队伍，开展专业化养老服务；</w:t>
      </w:r>
    </w:p>
    <w:p>
      <w:pPr>
        <w:spacing w:line="560" w:lineRule="exact"/>
        <w:ind w:firstLine="640" w:firstLineChars="200"/>
        <w:rPr>
          <w:rFonts w:ascii="仿宋_GB2312"/>
        </w:rPr>
      </w:pPr>
      <w:r>
        <w:rPr>
          <w:rFonts w:hint="eastAsia" w:ascii="仿宋_GB2312" w:hAnsi="等线"/>
          <w:snapToGrid/>
          <w:kern w:val="2"/>
        </w:rPr>
        <w:t>（四）鼓励机关、团体和企业事业单位开放所属服务场所，为老年人提供就餐、文化、娱乐、健身等服务；</w:t>
      </w:r>
    </w:p>
    <w:p>
      <w:pPr>
        <w:spacing w:line="560" w:lineRule="exact"/>
        <w:ind w:firstLine="640" w:firstLineChars="200"/>
        <w:rPr>
          <w:rFonts w:ascii="仿宋_GB2312"/>
        </w:rPr>
      </w:pPr>
      <w:r>
        <w:rPr>
          <w:rFonts w:hint="eastAsia" w:ascii="仿宋_GB2312" w:hAnsi="等线"/>
          <w:snapToGrid/>
          <w:kern w:val="2"/>
        </w:rPr>
        <w:t>（五）鼓励农村集体经济组织和个人利用农村幸福院、村民委员会办公场所等，开展养老服务</w:t>
      </w:r>
      <w:bookmarkStart w:id="38" w:name="_Toc18071665"/>
      <w:r>
        <w:rPr>
          <w:rFonts w:hint="eastAsia" w:ascii="仿宋_GB2312" w:hAnsi="等线"/>
          <w:snapToGrid/>
          <w:kern w:val="2"/>
        </w:rPr>
        <w:t>；</w:t>
      </w:r>
    </w:p>
    <w:p>
      <w:pPr>
        <w:spacing w:line="560" w:lineRule="exact"/>
        <w:ind w:firstLine="640" w:firstLineChars="200"/>
        <w:rPr>
          <w:rFonts w:ascii="仿宋_GB2312"/>
        </w:rPr>
      </w:pPr>
      <w:r>
        <w:rPr>
          <w:rFonts w:hint="eastAsia" w:ascii="仿宋_GB2312" w:hAnsi="等线"/>
          <w:snapToGrid/>
          <w:kern w:val="2"/>
        </w:rPr>
        <w:t>（六）鼓励支持设立家庭</w:t>
      </w:r>
      <w:r>
        <w:rPr>
          <w:rFonts w:ascii="仿宋_GB2312" w:hAnsi="等线"/>
          <w:snapToGrid/>
          <w:kern w:val="2"/>
        </w:rPr>
        <w:t>照护床位</w:t>
      </w:r>
      <w:r>
        <w:rPr>
          <w:rFonts w:hint="eastAsia" w:ascii="仿宋_GB2312" w:hAnsi="等线"/>
          <w:snapToGrid/>
          <w:kern w:val="2"/>
        </w:rPr>
        <w:t>，由专业</w:t>
      </w:r>
      <w:r>
        <w:rPr>
          <w:rFonts w:ascii="仿宋_GB2312" w:hAnsi="等线"/>
          <w:snapToGrid/>
          <w:kern w:val="2"/>
        </w:rPr>
        <w:t>养老服务组织</w:t>
      </w:r>
      <w:r>
        <w:rPr>
          <w:rFonts w:hint="eastAsia" w:ascii="仿宋_GB2312" w:hAnsi="等线"/>
          <w:snapToGrid/>
          <w:kern w:val="2"/>
        </w:rPr>
        <w:t>以</w:t>
      </w:r>
      <w:r>
        <w:rPr>
          <w:rFonts w:ascii="仿宋_GB2312" w:hAnsi="等线"/>
          <w:snapToGrid/>
          <w:kern w:val="2"/>
        </w:rPr>
        <w:t>及其他</w:t>
      </w:r>
      <w:r>
        <w:rPr>
          <w:rFonts w:hint="eastAsia" w:ascii="仿宋_GB2312" w:hAnsi="等线"/>
          <w:snapToGrid/>
          <w:kern w:val="2"/>
        </w:rPr>
        <w:t>组织</w:t>
      </w:r>
      <w:r>
        <w:rPr>
          <w:rFonts w:ascii="仿宋_GB2312" w:hAnsi="等线"/>
          <w:snapToGrid/>
          <w:kern w:val="2"/>
        </w:rPr>
        <w:t>和个人提供上门照护服务</w:t>
      </w:r>
      <w:r>
        <w:rPr>
          <w:rFonts w:hint="eastAsia" w:ascii="仿宋_GB2312" w:hAnsi="等线"/>
          <w:snapToGrid/>
          <w:kern w:val="2"/>
        </w:rPr>
        <w:t>。</w:t>
      </w:r>
    </w:p>
    <w:p>
      <w:pPr>
        <w:spacing w:line="560" w:lineRule="exact"/>
        <w:ind w:firstLine="640" w:firstLineChars="200"/>
        <w:rPr>
          <w:rFonts w:ascii="仿宋_GB2312"/>
        </w:rPr>
      </w:pPr>
      <w:r>
        <w:rPr>
          <w:rFonts w:hint="eastAsia" w:ascii="黑体" w:hAnsi="黑体" w:eastAsia="黑体"/>
          <w:bCs/>
          <w:snapToGrid/>
          <w:kern w:val="2"/>
        </w:rPr>
        <w:t xml:space="preserve">第二十五条  </w:t>
      </w:r>
      <w:r>
        <w:rPr>
          <w:rFonts w:hint="eastAsia" w:ascii="仿宋_GB2312" w:hAnsi="等线"/>
          <w:snapToGrid/>
          <w:kern w:val="2"/>
        </w:rPr>
        <w:t>县级以上人民政府卫生健康、民政、医疗保障部门应当推动医疗卫生服务向社区、家庭延伸，鼓励</w:t>
      </w:r>
      <w:r>
        <w:rPr>
          <w:rFonts w:ascii="仿宋_GB2312" w:hAnsi="等线"/>
          <w:snapToGrid/>
          <w:kern w:val="2"/>
        </w:rPr>
        <w:t>医疗</w:t>
      </w:r>
      <w:r>
        <w:rPr>
          <w:rFonts w:hint="eastAsia" w:ascii="仿宋_GB2312" w:hAnsi="等线"/>
          <w:snapToGrid/>
          <w:kern w:val="2"/>
        </w:rPr>
        <w:t>机构上门为老年人提供康复、护理等服务。</w:t>
      </w:r>
    </w:p>
    <w:p>
      <w:pPr>
        <w:spacing w:line="560" w:lineRule="exact"/>
        <w:ind w:firstLine="640" w:firstLineChars="200"/>
        <w:rPr>
          <w:rFonts w:ascii="仿宋_GB2312"/>
        </w:rPr>
      </w:pPr>
      <w:r>
        <w:rPr>
          <w:rFonts w:hint="eastAsia" w:ascii="仿宋_GB2312" w:hAnsi="等线"/>
          <w:snapToGrid/>
          <w:kern w:val="2"/>
        </w:rPr>
        <w:t>鼓励支持乡村医生等发挥专业特长，为农村居家失能老年人提供上门护理服务，对其家庭成员进行护理指导。</w:t>
      </w:r>
    </w:p>
    <w:p>
      <w:pPr>
        <w:spacing w:line="560" w:lineRule="exact"/>
        <w:ind w:firstLine="640" w:firstLineChars="200"/>
        <w:rPr>
          <w:rFonts w:ascii="仿宋_GB2312"/>
        </w:rPr>
      </w:pPr>
      <w:r>
        <w:rPr>
          <w:rFonts w:hint="eastAsia" w:ascii="黑体" w:hAnsi="黑体" w:eastAsia="黑体"/>
          <w:bCs/>
          <w:snapToGrid/>
          <w:kern w:val="2"/>
        </w:rPr>
        <w:t xml:space="preserve">第二十六条  </w:t>
      </w:r>
      <w:r>
        <w:rPr>
          <w:rFonts w:hint="eastAsia" w:ascii="仿宋_GB2312" w:hAnsi="等线"/>
          <w:snapToGrid/>
          <w:kern w:val="2"/>
        </w:rPr>
        <w:t>县级以上人民政府卫生健康、医疗保障等部门应当按照各自职责，完善基层用药管理制度和</w:t>
      </w:r>
      <w:r>
        <w:fldChar w:fldCharType="begin"/>
      </w:r>
      <w:r>
        <w:instrText xml:space="preserve"> HYPERLINK "https://baike.baidu.com/item/%E5%9F%BA%E6%9C%AC%E5%8C%BB%E7%96%97%E4%BF%9D%E9%99%A9/3460063" \t "_blank" </w:instrText>
      </w:r>
      <w:r>
        <w:fldChar w:fldCharType="separate"/>
      </w:r>
      <w:r>
        <w:rPr>
          <w:rFonts w:hint="eastAsia" w:ascii="仿宋_GB2312" w:hAnsi="等线"/>
          <w:snapToGrid/>
          <w:kern w:val="2"/>
        </w:rPr>
        <w:t>基本医疗保险</w:t>
      </w:r>
      <w:r>
        <w:rPr>
          <w:rFonts w:hint="eastAsia" w:ascii="仿宋_GB2312" w:hAnsi="等线"/>
          <w:snapToGrid/>
          <w:kern w:val="2"/>
        </w:rPr>
        <w:fldChar w:fldCharType="end"/>
      </w:r>
      <w:r>
        <w:rPr>
          <w:rFonts w:hint="eastAsia" w:ascii="仿宋_GB2312" w:hAnsi="等线"/>
          <w:snapToGrid/>
          <w:kern w:val="2"/>
        </w:rPr>
        <w:t>用药报销政策，保证基层医疗卫生机构药品配备，为老年人治疗常见病、慢性病用药提供方便。</w:t>
      </w:r>
    </w:p>
    <w:p>
      <w:pPr>
        <w:spacing w:line="560" w:lineRule="exact"/>
        <w:ind w:firstLine="640" w:firstLineChars="200"/>
        <w:rPr>
          <w:rFonts w:ascii="仿宋_GB2312"/>
        </w:rPr>
      </w:pPr>
      <w:r>
        <w:rPr>
          <w:rFonts w:hint="eastAsia" w:ascii="仿宋_GB2312" w:hAnsi="等线"/>
          <w:snapToGrid/>
          <w:kern w:val="2"/>
        </w:rPr>
        <w:t>承担基本公共卫生服务项目的基层医疗卫生机构应当为老年人建立健康档案，完善老年人家庭医生签约服务制度，提供定期免费体检、疾病预防、健康评估、医疗咨询等服务。</w:t>
      </w:r>
    </w:p>
    <w:bookmarkEnd w:id="38"/>
    <w:p>
      <w:pPr>
        <w:spacing w:line="560" w:lineRule="exact"/>
        <w:ind w:firstLine="640" w:firstLineChars="200"/>
        <w:rPr>
          <w:rFonts w:ascii="仿宋_GB2312"/>
        </w:rPr>
      </w:pPr>
      <w:r>
        <w:rPr>
          <w:rFonts w:hint="eastAsia" w:ascii="黑体" w:hAnsi="黑体" w:eastAsia="黑体"/>
          <w:bCs/>
          <w:snapToGrid/>
          <w:kern w:val="2"/>
        </w:rPr>
        <w:t xml:space="preserve">第二十七条  </w:t>
      </w:r>
      <w:r>
        <w:rPr>
          <w:rFonts w:hint="eastAsia" w:ascii="仿宋_GB2312" w:hAnsi="等线"/>
          <w:snapToGrid/>
          <w:kern w:val="2"/>
        </w:rPr>
        <w:t>县级以上人民政府及其民政部门应当建立经济困难老年人养老服务需求评估制度，对经济困难老年人的家庭经济情况、身体状况、养老服务需求进行评估，通过政府购买服务等方式对符合条件的老年人提供居家社区养老服务，并根据需要进行家庭无障碍设施改造，配备生活辅助器具。</w:t>
      </w:r>
    </w:p>
    <w:p>
      <w:pPr>
        <w:spacing w:line="560" w:lineRule="exact"/>
        <w:ind w:firstLine="640" w:firstLineChars="200"/>
        <w:rPr>
          <w:rFonts w:ascii="仿宋_GB2312"/>
        </w:rPr>
      </w:pPr>
      <w:r>
        <w:rPr>
          <w:rFonts w:hint="eastAsia" w:ascii="黑体" w:hAnsi="黑体" w:eastAsia="黑体"/>
          <w:bCs/>
          <w:snapToGrid/>
          <w:kern w:val="2"/>
        </w:rPr>
        <w:t xml:space="preserve">第二十八条  </w:t>
      </w:r>
      <w:r>
        <w:rPr>
          <w:rFonts w:hint="eastAsia" w:ascii="仿宋_GB2312" w:hAnsi="等线"/>
          <w:snapToGrid/>
          <w:kern w:val="2"/>
        </w:rPr>
        <w:t>县级人民政府及其民政部门应当做好辖区内老年人基本信息摸排调查工作，及时了解老年人生活状况和家庭赡养责任落实情况，建立健全特殊老年人巡访制度，定期组织巡访独居、空巢、农村留守、计划生育特殊家庭的老年人，开展生活照料、精神慰藉、安全防护、权益维护等服务，及时防范和化解意外风险。</w:t>
      </w:r>
    </w:p>
    <w:p>
      <w:pPr>
        <w:spacing w:line="560" w:lineRule="exact"/>
        <w:ind w:firstLine="640" w:firstLineChars="200"/>
        <w:rPr>
          <w:rFonts w:ascii="仿宋_GB2312"/>
        </w:rPr>
      </w:pPr>
      <w:r>
        <w:rPr>
          <w:rFonts w:hint="eastAsia" w:ascii="黑体" w:hAnsi="黑体" w:eastAsia="黑体"/>
          <w:bCs/>
          <w:snapToGrid/>
          <w:kern w:val="2"/>
        </w:rPr>
        <w:t xml:space="preserve">第二十九条  </w:t>
      </w:r>
      <w:r>
        <w:rPr>
          <w:rFonts w:hint="eastAsia" w:ascii="仿宋_GB2312" w:hAnsi="等线"/>
          <w:snapToGrid/>
          <w:kern w:val="2"/>
        </w:rPr>
        <w:t>鼓励、支持发展邻里互助、亲友相助、志愿服务等互助养老服务模式，提倡健康老年人帮助高龄、失能、独居</w:t>
      </w:r>
      <w:r>
        <w:rPr>
          <w:rFonts w:ascii="仿宋_GB2312" w:hAnsi="等线"/>
          <w:snapToGrid/>
          <w:kern w:val="2"/>
        </w:rPr>
        <w:t>、</w:t>
      </w:r>
      <w:r>
        <w:rPr>
          <w:rFonts w:hint="eastAsia" w:ascii="仿宋_GB2312" w:hAnsi="等线"/>
          <w:snapToGrid/>
          <w:kern w:val="2"/>
        </w:rPr>
        <w:t>空</w:t>
      </w:r>
      <w:r>
        <w:rPr>
          <w:rFonts w:ascii="仿宋_GB2312" w:hAnsi="等线"/>
          <w:snapToGrid/>
          <w:kern w:val="2"/>
        </w:rPr>
        <w:t>巢</w:t>
      </w:r>
      <w:r>
        <w:rPr>
          <w:rFonts w:hint="eastAsia" w:ascii="仿宋_GB2312" w:hAnsi="等线"/>
          <w:snapToGrid/>
          <w:kern w:val="2"/>
        </w:rPr>
        <w:t>、留守</w:t>
      </w:r>
      <w:r>
        <w:rPr>
          <w:rFonts w:ascii="仿宋_GB2312" w:hAnsi="等线"/>
          <w:snapToGrid/>
          <w:kern w:val="2"/>
        </w:rPr>
        <w:t>、</w:t>
      </w:r>
      <w:r>
        <w:rPr>
          <w:rFonts w:hint="eastAsia" w:ascii="仿宋_GB2312" w:hAnsi="等线"/>
          <w:snapToGrid/>
          <w:kern w:val="2"/>
        </w:rPr>
        <w:t>重病、计划生育特殊家庭等老年人。</w:t>
      </w:r>
    </w:p>
    <w:p>
      <w:pPr>
        <w:spacing w:line="560" w:lineRule="exact"/>
        <w:jc w:val="center"/>
        <w:rPr>
          <w:rFonts w:ascii="黑体" w:hAnsi="黑体" w:eastAsia="黑体"/>
          <w:snapToGrid/>
          <w:kern w:val="2"/>
        </w:rPr>
      </w:pPr>
      <w:bookmarkStart w:id="39" w:name="_Toc21971214"/>
      <w:bookmarkStart w:id="40" w:name="_Toc18071671"/>
    </w:p>
    <w:p>
      <w:pPr>
        <w:spacing w:line="560" w:lineRule="exact"/>
        <w:jc w:val="center"/>
        <w:rPr>
          <w:rFonts w:ascii="黑体" w:hAnsi="黑体" w:eastAsia="黑体"/>
        </w:rPr>
      </w:pPr>
      <w:r>
        <w:rPr>
          <w:rFonts w:hint="eastAsia" w:ascii="黑体" w:hAnsi="黑体" w:eastAsia="黑体"/>
          <w:snapToGrid/>
          <w:kern w:val="2"/>
        </w:rPr>
        <w:t>第四章  机构养老服务</w:t>
      </w:r>
      <w:bookmarkEnd w:id="39"/>
      <w:bookmarkEnd w:id="40"/>
    </w:p>
    <w:p>
      <w:pPr>
        <w:spacing w:line="560" w:lineRule="exact"/>
        <w:ind w:firstLine="640" w:firstLineChars="200"/>
        <w:rPr>
          <w:rFonts w:ascii="仿宋_GB2312"/>
        </w:rPr>
      </w:pPr>
      <w:r>
        <w:rPr>
          <w:rFonts w:hint="eastAsia" w:ascii="仿宋_GB2312" w:hAnsi="等线"/>
          <w:snapToGrid/>
          <w:kern w:val="2"/>
        </w:rPr>
        <w:t>　　</w:t>
      </w:r>
    </w:p>
    <w:p>
      <w:pPr>
        <w:spacing w:line="560" w:lineRule="exact"/>
        <w:ind w:firstLine="640" w:firstLineChars="200"/>
        <w:rPr>
          <w:rFonts w:ascii="仿宋_GB2312"/>
        </w:rPr>
      </w:pPr>
      <w:r>
        <w:rPr>
          <w:rFonts w:hint="eastAsia" w:ascii="黑体" w:hAnsi="黑体" w:eastAsia="黑体"/>
          <w:bCs/>
          <w:snapToGrid/>
          <w:kern w:val="2"/>
        </w:rPr>
        <w:t xml:space="preserve">第三十条  </w:t>
      </w:r>
      <w:r>
        <w:rPr>
          <w:rFonts w:hint="eastAsia" w:ascii="仿宋_GB2312" w:hAnsi="等线"/>
          <w:snapToGrid/>
          <w:kern w:val="2"/>
        </w:rPr>
        <w:t>设立养老机构的，应当依法办理相关注册登记手续，并向所在地县（市、区）人民政府民政部门备案。</w:t>
      </w:r>
    </w:p>
    <w:p>
      <w:pPr>
        <w:spacing w:line="560" w:lineRule="exact"/>
        <w:ind w:firstLine="640" w:firstLineChars="200"/>
        <w:rPr>
          <w:rFonts w:ascii="黑体" w:hAnsi="黑体" w:eastAsia="黑体"/>
        </w:rPr>
      </w:pPr>
      <w:r>
        <w:rPr>
          <w:rFonts w:hint="eastAsia" w:ascii="黑体" w:hAnsi="黑体" w:eastAsia="黑体"/>
          <w:bCs/>
          <w:snapToGrid/>
          <w:kern w:val="2"/>
        </w:rPr>
        <w:t xml:space="preserve">第三十一条  </w:t>
      </w:r>
      <w:r>
        <w:rPr>
          <w:rFonts w:hint="eastAsia" w:ascii="仿宋_GB2312" w:hAnsi="等线"/>
          <w:snapToGrid/>
          <w:kern w:val="2"/>
        </w:rPr>
        <w:t>养老机构应当有固定的服务场所和健全的安全管理制度，符合消防、卫生健康、环境保护、食品药品等标准中的强制性规定，配备与经营规模相适应的管理人员和专业技术人员，并按照不同护理等级配备规定数量的养老护理人员。</w:t>
      </w:r>
    </w:p>
    <w:p>
      <w:pPr>
        <w:spacing w:line="560" w:lineRule="exact"/>
        <w:ind w:firstLine="640" w:firstLineChars="200"/>
        <w:rPr>
          <w:rFonts w:ascii="仿宋_GB2312"/>
        </w:rPr>
      </w:pPr>
      <w:r>
        <w:rPr>
          <w:rFonts w:hint="eastAsia" w:ascii="黑体" w:hAnsi="黑体" w:eastAsia="黑体"/>
          <w:bCs/>
          <w:snapToGrid/>
          <w:kern w:val="2"/>
        </w:rPr>
        <w:t xml:space="preserve">第三十二条  </w:t>
      </w:r>
      <w:r>
        <w:rPr>
          <w:rFonts w:hint="eastAsia" w:ascii="仿宋_GB2312" w:hAnsi="等线"/>
          <w:snapToGrid/>
          <w:kern w:val="2"/>
        </w:rPr>
        <w:t>公办养老机构应当在满足特困人员集中供养需求的前提下，重点为经济困难的失能老年人、计划生育特殊家庭老年人提供免费或者低收费托养服务。床位有剩余的，可以向社会开放。</w:t>
      </w:r>
    </w:p>
    <w:p>
      <w:pPr>
        <w:spacing w:line="560" w:lineRule="exact"/>
        <w:ind w:firstLine="640" w:firstLineChars="200"/>
        <w:rPr>
          <w:rFonts w:ascii="仿宋_GB2312"/>
        </w:rPr>
      </w:pPr>
      <w:r>
        <w:rPr>
          <w:rFonts w:hint="eastAsia" w:ascii="仿宋_GB2312" w:hAnsi="等线"/>
          <w:snapToGrid/>
          <w:kern w:val="2"/>
        </w:rPr>
        <w:t>县级以上人民政府民政部门应当建立老年人入住公办养老机构评估和</w:t>
      </w:r>
      <w:r>
        <w:rPr>
          <w:rFonts w:ascii="仿宋_GB2312" w:hAnsi="等线"/>
          <w:snapToGrid/>
          <w:kern w:val="2"/>
        </w:rPr>
        <w:t>公示</w:t>
      </w:r>
      <w:r>
        <w:rPr>
          <w:rFonts w:hint="eastAsia" w:ascii="仿宋_GB2312" w:hAnsi="等线"/>
          <w:snapToGrid/>
          <w:kern w:val="2"/>
        </w:rPr>
        <w:t>制度，定期向社会公布床位信息。</w:t>
      </w:r>
    </w:p>
    <w:p>
      <w:pPr>
        <w:spacing w:line="560" w:lineRule="exact"/>
        <w:ind w:firstLine="640" w:firstLineChars="200"/>
        <w:rPr>
          <w:rFonts w:ascii="仿宋_GB2312"/>
        </w:rPr>
      </w:pPr>
      <w:r>
        <w:rPr>
          <w:rFonts w:hint="eastAsia" w:ascii="黑体" w:hAnsi="黑体" w:eastAsia="黑体"/>
          <w:bCs/>
          <w:snapToGrid/>
          <w:kern w:val="2"/>
        </w:rPr>
        <w:t xml:space="preserve">第三十三条  </w:t>
      </w:r>
      <w:r>
        <w:rPr>
          <w:rFonts w:hint="eastAsia" w:ascii="仿宋_GB2312" w:hAnsi="等线"/>
          <w:snapToGrid/>
          <w:kern w:val="2"/>
        </w:rPr>
        <w:t>养老机构应当与入住的老年人或者其代理人依法订立养老服务合同，明确各方的权利和义务。</w:t>
      </w:r>
    </w:p>
    <w:p>
      <w:pPr>
        <w:spacing w:line="560" w:lineRule="exact"/>
        <w:ind w:firstLine="640" w:firstLineChars="200"/>
        <w:rPr>
          <w:rFonts w:ascii="仿宋_GB2312"/>
        </w:rPr>
      </w:pPr>
      <w:r>
        <w:rPr>
          <w:rFonts w:hint="eastAsia" w:ascii="黑体" w:hAnsi="黑体" w:eastAsia="黑体"/>
          <w:bCs/>
          <w:snapToGrid/>
          <w:kern w:val="2"/>
        </w:rPr>
        <w:t xml:space="preserve">第三十四条  </w:t>
      </w:r>
      <w:r>
        <w:rPr>
          <w:rFonts w:hint="eastAsia" w:ascii="仿宋_GB2312" w:hAnsi="等线"/>
          <w:snapToGrid/>
          <w:kern w:val="2"/>
        </w:rPr>
        <w:t>养老机构应当在老年人入住前，按照国家有关规定进行服务安全风险评估，根据评估结果划分风险等级，制定意外事件应对措施。</w:t>
      </w:r>
    </w:p>
    <w:p>
      <w:pPr>
        <w:spacing w:line="560" w:lineRule="exact"/>
        <w:ind w:firstLine="640" w:firstLineChars="200"/>
        <w:rPr>
          <w:rFonts w:ascii="仿宋_GB2312"/>
        </w:rPr>
      </w:pPr>
      <w:r>
        <w:rPr>
          <w:rFonts w:hint="eastAsia" w:ascii="仿宋_GB2312" w:hAnsi="等线"/>
          <w:snapToGrid/>
          <w:kern w:val="2"/>
        </w:rPr>
        <w:t>养老机构应当按照有关服务标准、规范以及养老服务合同约定，提供下列服务：</w:t>
      </w:r>
    </w:p>
    <w:p>
      <w:pPr>
        <w:spacing w:line="560" w:lineRule="exact"/>
        <w:ind w:firstLine="640" w:firstLineChars="200"/>
        <w:rPr>
          <w:rFonts w:ascii="仿宋_GB2312"/>
        </w:rPr>
      </w:pPr>
      <w:r>
        <w:rPr>
          <w:rFonts w:hint="eastAsia" w:ascii="仿宋_GB2312" w:hAnsi="等线"/>
          <w:snapToGrid/>
          <w:kern w:val="2"/>
        </w:rPr>
        <w:t>（一）提供符合食品安全要求和民族风俗习惯，适宜老年人食用的膳食;</w:t>
      </w:r>
    </w:p>
    <w:p>
      <w:pPr>
        <w:spacing w:line="560" w:lineRule="exact"/>
        <w:ind w:firstLine="640" w:firstLineChars="200"/>
        <w:rPr>
          <w:rFonts w:ascii="仿宋_GB2312"/>
        </w:rPr>
      </w:pPr>
      <w:r>
        <w:rPr>
          <w:rFonts w:hint="eastAsia" w:ascii="仿宋_GB2312" w:hAnsi="等线"/>
          <w:snapToGrid/>
          <w:kern w:val="2"/>
        </w:rPr>
        <w:t>（二）提供符合老年人居住条件的住房，并配备适合老年人安全保护要求的设施、设备以及用具;</w:t>
      </w:r>
    </w:p>
    <w:p>
      <w:pPr>
        <w:spacing w:line="560" w:lineRule="exact"/>
        <w:ind w:firstLine="640" w:firstLineChars="200"/>
        <w:rPr>
          <w:rFonts w:ascii="仿宋_GB2312"/>
        </w:rPr>
      </w:pPr>
      <w:r>
        <w:rPr>
          <w:rFonts w:hint="eastAsia" w:ascii="仿宋_GB2312" w:hAnsi="等线"/>
          <w:snapToGrid/>
          <w:kern w:val="2"/>
        </w:rPr>
        <w:t>（三）定期对老年人活动场所和使用物品进行清洗消毒;</w:t>
      </w:r>
    </w:p>
    <w:p>
      <w:pPr>
        <w:spacing w:line="560" w:lineRule="exact"/>
        <w:ind w:firstLine="640" w:firstLineChars="200"/>
        <w:rPr>
          <w:rFonts w:ascii="仿宋_GB2312"/>
        </w:rPr>
      </w:pPr>
      <w:r>
        <w:rPr>
          <w:rFonts w:hint="eastAsia" w:ascii="仿宋_GB2312" w:hAnsi="等线"/>
          <w:snapToGrid/>
          <w:kern w:val="2"/>
        </w:rPr>
        <w:t>（四）开展适合老年人的文化、体育、娱乐活动;</w:t>
      </w:r>
    </w:p>
    <w:p>
      <w:pPr>
        <w:spacing w:line="560" w:lineRule="exact"/>
        <w:ind w:firstLine="640" w:firstLineChars="200"/>
        <w:rPr>
          <w:rFonts w:ascii="仿宋_GB2312"/>
        </w:rPr>
      </w:pPr>
      <w:r>
        <w:rPr>
          <w:rFonts w:hint="eastAsia" w:ascii="仿宋_GB2312" w:hAnsi="等线"/>
          <w:snapToGrid/>
          <w:kern w:val="2"/>
        </w:rPr>
        <w:t>（五）根据需要为老年人提供心理咨询服务;</w:t>
      </w:r>
    </w:p>
    <w:p>
      <w:pPr>
        <w:spacing w:line="560" w:lineRule="exact"/>
        <w:ind w:firstLine="640" w:firstLineChars="200"/>
        <w:rPr>
          <w:rFonts w:ascii="仿宋_GB2312"/>
        </w:rPr>
      </w:pPr>
      <w:r>
        <w:rPr>
          <w:rFonts w:hint="eastAsia" w:ascii="仿宋_GB2312" w:hAnsi="等线"/>
          <w:snapToGrid/>
          <w:kern w:val="2"/>
        </w:rPr>
        <w:t>（六）建立夜间值班制度，做好老年人夜间监护工作;</w:t>
      </w:r>
    </w:p>
    <w:p>
      <w:pPr>
        <w:spacing w:line="560" w:lineRule="exact"/>
        <w:ind w:firstLine="640" w:firstLineChars="200"/>
        <w:rPr>
          <w:rFonts w:ascii="仿宋_GB2312"/>
        </w:rPr>
      </w:pPr>
      <w:r>
        <w:rPr>
          <w:rFonts w:hint="eastAsia" w:ascii="仿宋_GB2312" w:hAnsi="等线"/>
          <w:snapToGrid/>
          <w:kern w:val="2"/>
        </w:rPr>
        <w:t>（七）其他适合老年人的服务。</w:t>
      </w:r>
    </w:p>
    <w:p>
      <w:pPr>
        <w:spacing w:line="560" w:lineRule="exact"/>
        <w:ind w:firstLine="640" w:firstLineChars="200"/>
        <w:rPr>
          <w:rFonts w:ascii="仿宋_GB2312"/>
        </w:rPr>
      </w:pPr>
      <w:r>
        <w:rPr>
          <w:rFonts w:hint="eastAsia" w:ascii="黑体" w:hAnsi="黑体" w:eastAsia="黑体"/>
          <w:bCs/>
          <w:snapToGrid/>
          <w:kern w:val="2"/>
        </w:rPr>
        <w:t xml:space="preserve">第三十五条  </w:t>
      </w:r>
      <w:r>
        <w:rPr>
          <w:rFonts w:hint="eastAsia" w:ascii="仿宋_GB2312" w:hAnsi="等线"/>
          <w:snapToGrid/>
          <w:kern w:val="2"/>
        </w:rPr>
        <w:t>养老机构及其工作人员应当尊重入住老年人的人格尊严，不得歧视、侮辱、虐待、遗弃老年人。</w:t>
      </w:r>
    </w:p>
    <w:p>
      <w:pPr>
        <w:spacing w:line="560" w:lineRule="exact"/>
        <w:ind w:firstLine="640" w:firstLineChars="200"/>
        <w:rPr>
          <w:rFonts w:ascii="仿宋_GB2312"/>
        </w:rPr>
      </w:pPr>
      <w:r>
        <w:rPr>
          <w:rFonts w:hint="eastAsia" w:ascii="仿宋_GB2312" w:hAnsi="等线"/>
          <w:snapToGrid/>
          <w:kern w:val="2"/>
        </w:rPr>
        <w:t>养老服务</w:t>
      </w:r>
      <w:r>
        <w:rPr>
          <w:rFonts w:ascii="仿宋_GB2312" w:hAnsi="等线"/>
          <w:snapToGrid/>
          <w:kern w:val="2"/>
        </w:rPr>
        <w:t>的工作</w:t>
      </w:r>
      <w:r>
        <w:rPr>
          <w:rFonts w:hint="eastAsia" w:ascii="仿宋_GB2312" w:hAnsi="等线"/>
          <w:snapToGrid/>
          <w:kern w:val="2"/>
        </w:rPr>
        <w:t>人</w:t>
      </w:r>
      <w:r>
        <w:rPr>
          <w:rFonts w:ascii="仿宋_GB2312" w:hAnsi="等线"/>
          <w:snapToGrid/>
          <w:kern w:val="2"/>
        </w:rPr>
        <w:t>员应当</w:t>
      </w:r>
      <w:r>
        <w:rPr>
          <w:rFonts w:hint="eastAsia" w:ascii="仿宋_GB2312" w:hAnsi="等线"/>
          <w:snapToGrid/>
          <w:kern w:val="2"/>
        </w:rPr>
        <w:t>身心</w:t>
      </w:r>
      <w:r>
        <w:rPr>
          <w:rFonts w:ascii="仿宋_GB2312" w:hAnsi="等线"/>
          <w:snapToGrid/>
          <w:kern w:val="2"/>
        </w:rPr>
        <w:t>健康，</w:t>
      </w:r>
      <w:r>
        <w:rPr>
          <w:rFonts w:hint="eastAsia" w:ascii="仿宋_GB2312" w:hAnsi="等线"/>
          <w:snapToGrid/>
          <w:kern w:val="2"/>
        </w:rPr>
        <w:t>具备</w:t>
      </w:r>
      <w:r>
        <w:rPr>
          <w:rFonts w:ascii="仿宋_GB2312" w:hAnsi="等线"/>
          <w:snapToGrid/>
          <w:kern w:val="2"/>
        </w:rPr>
        <w:t>与</w:t>
      </w:r>
      <w:r>
        <w:rPr>
          <w:rFonts w:hint="eastAsia" w:ascii="仿宋_GB2312" w:hAnsi="等线"/>
          <w:snapToGrid/>
          <w:kern w:val="2"/>
        </w:rPr>
        <w:t>工作</w:t>
      </w:r>
      <w:r>
        <w:rPr>
          <w:rFonts w:ascii="仿宋_GB2312" w:hAnsi="等线"/>
          <w:snapToGrid/>
          <w:kern w:val="2"/>
        </w:rPr>
        <w:t>岗位</w:t>
      </w:r>
      <w:r>
        <w:rPr>
          <w:rFonts w:hint="eastAsia" w:ascii="仿宋_GB2312" w:hAnsi="等线"/>
          <w:snapToGrid/>
          <w:kern w:val="2"/>
        </w:rPr>
        <w:t>相</w:t>
      </w:r>
      <w:r>
        <w:rPr>
          <w:rFonts w:ascii="仿宋_GB2312" w:hAnsi="等线"/>
          <w:snapToGrid/>
          <w:kern w:val="2"/>
        </w:rPr>
        <w:t>适应的文化水平和专业技能。</w:t>
      </w:r>
    </w:p>
    <w:p>
      <w:pPr>
        <w:spacing w:line="560" w:lineRule="exact"/>
        <w:ind w:firstLine="640" w:firstLineChars="200"/>
        <w:rPr>
          <w:rFonts w:ascii="仿宋_GB2312"/>
          <w:shd w:val="pct10" w:color="auto" w:fill="FFFFFF"/>
        </w:rPr>
      </w:pPr>
      <w:r>
        <w:rPr>
          <w:rFonts w:hint="eastAsia" w:ascii="黑体" w:hAnsi="黑体" w:eastAsia="黑体"/>
          <w:bCs/>
          <w:snapToGrid/>
          <w:kern w:val="2"/>
        </w:rPr>
        <w:t xml:space="preserve">第三十六条  </w:t>
      </w:r>
      <w:r>
        <w:rPr>
          <w:rFonts w:hint="eastAsia" w:ascii="仿宋_GB2312" w:hAnsi="等线"/>
          <w:snapToGrid/>
          <w:kern w:val="2"/>
        </w:rPr>
        <w:t>养老机构应当依法履行安全生产主体责任,建立健全消防、安全值守、设施设备、食品药品等安全管理制度，开展经常性安全检查, 及时消除安全隐患。</w:t>
      </w:r>
    </w:p>
    <w:p>
      <w:pPr>
        <w:spacing w:line="560" w:lineRule="exact"/>
        <w:ind w:firstLine="640" w:firstLineChars="200"/>
        <w:rPr>
          <w:rFonts w:ascii="仿宋_GB2312"/>
        </w:rPr>
      </w:pPr>
      <w:r>
        <w:rPr>
          <w:rFonts w:hint="eastAsia" w:ascii="仿宋_GB2312" w:hAnsi="等线"/>
          <w:snapToGrid/>
          <w:kern w:val="2"/>
        </w:rPr>
        <w:t>养老机构发现老年人为疑似传染病病人或者精神障碍患者时，应当依照传染病防治、精神卫生等相关法律法规的规定及时处理。</w:t>
      </w:r>
    </w:p>
    <w:p>
      <w:pPr>
        <w:spacing w:line="560" w:lineRule="exact"/>
        <w:ind w:firstLine="640" w:firstLineChars="200"/>
        <w:rPr>
          <w:rFonts w:ascii="仿宋_GB2312"/>
        </w:rPr>
      </w:pPr>
      <w:r>
        <w:rPr>
          <w:rFonts w:ascii="黑体" w:hAnsi="黑体" w:eastAsia="黑体"/>
          <w:snapToGrid/>
          <w:kern w:val="2"/>
          <w:shd w:val="clear" w:color="auto" w:fill="FFFFFF"/>
        </w:rPr>
        <w:t>第</w:t>
      </w:r>
      <w:r>
        <w:rPr>
          <w:rFonts w:hint="eastAsia" w:ascii="黑体" w:hAnsi="黑体" w:eastAsia="黑体"/>
          <w:snapToGrid/>
          <w:kern w:val="2"/>
          <w:shd w:val="clear" w:color="auto" w:fill="FFFFFF"/>
        </w:rPr>
        <w:t>三十七</w:t>
      </w:r>
      <w:r>
        <w:rPr>
          <w:rFonts w:ascii="黑体" w:hAnsi="黑体" w:eastAsia="黑体"/>
          <w:snapToGrid/>
          <w:kern w:val="2"/>
          <w:shd w:val="clear" w:color="auto" w:fill="FFFFFF"/>
        </w:rPr>
        <w:t xml:space="preserve">条 </w:t>
      </w:r>
      <w:r>
        <w:rPr>
          <w:rFonts w:hint="eastAsia" w:ascii="黑体" w:hAnsi="黑体" w:eastAsia="黑体"/>
          <w:snapToGrid/>
          <w:kern w:val="2"/>
          <w:shd w:val="clear" w:color="auto" w:fill="FFFFFF"/>
        </w:rPr>
        <w:t xml:space="preserve">  </w:t>
      </w:r>
      <w:r>
        <w:rPr>
          <w:rFonts w:ascii="仿宋_GB2312" w:hAnsi="等线"/>
          <w:snapToGrid/>
          <w:kern w:val="2"/>
        </w:rPr>
        <w:t>养老机构应当</w:t>
      </w:r>
      <w:r>
        <w:rPr>
          <w:rFonts w:hint="eastAsia" w:ascii="仿宋_GB2312" w:hAnsi="等线"/>
          <w:snapToGrid/>
          <w:kern w:val="2"/>
        </w:rPr>
        <w:t>针对自然灾害、事故灾难、公共卫生事件和社会安全事件</w:t>
      </w:r>
      <w:r>
        <w:rPr>
          <w:rFonts w:ascii="仿宋_GB2312" w:hAnsi="等线"/>
          <w:snapToGrid/>
          <w:kern w:val="2"/>
        </w:rPr>
        <w:t>制定突发事件应急预案</w:t>
      </w:r>
      <w:r>
        <w:rPr>
          <w:rFonts w:hint="eastAsia" w:ascii="仿宋_GB2312" w:hAnsi="等线"/>
          <w:snapToGrid/>
          <w:kern w:val="2"/>
        </w:rPr>
        <w:t>，定期组织开展应急演练</w:t>
      </w:r>
      <w:r>
        <w:rPr>
          <w:rFonts w:ascii="仿宋_GB2312" w:hAnsi="等线"/>
          <w:snapToGrid/>
          <w:kern w:val="2"/>
        </w:rPr>
        <w:t>。</w:t>
      </w:r>
    </w:p>
    <w:p>
      <w:pPr>
        <w:spacing w:line="560" w:lineRule="exact"/>
        <w:ind w:firstLine="640" w:firstLineChars="200"/>
        <w:rPr>
          <w:rFonts w:ascii="仿宋_GB2312"/>
        </w:rPr>
      </w:pPr>
      <w:r>
        <w:rPr>
          <w:rFonts w:ascii="仿宋_GB2312" w:hAnsi="等线"/>
          <w:snapToGrid/>
          <w:kern w:val="2"/>
        </w:rPr>
        <w:t>养老机构应当</w:t>
      </w:r>
      <w:r>
        <w:rPr>
          <w:rFonts w:hint="eastAsia" w:ascii="仿宋_GB2312" w:hAnsi="等线"/>
          <w:snapToGrid/>
          <w:kern w:val="2"/>
        </w:rPr>
        <w:t>在</w:t>
      </w:r>
      <w:r>
        <w:rPr>
          <w:rFonts w:ascii="仿宋_GB2312" w:hAnsi="等线"/>
          <w:snapToGrid/>
          <w:kern w:val="2"/>
        </w:rPr>
        <w:t>突发事件发生后立即启动应急</w:t>
      </w:r>
      <w:r>
        <w:rPr>
          <w:rFonts w:hint="eastAsia" w:ascii="仿宋_GB2312" w:hAnsi="等线"/>
          <w:snapToGrid/>
          <w:kern w:val="2"/>
        </w:rPr>
        <w:t>预案，落实应急处置措施，</w:t>
      </w:r>
      <w:r>
        <w:rPr>
          <w:rFonts w:ascii="仿宋_GB2312" w:hAnsi="等线"/>
          <w:snapToGrid/>
          <w:kern w:val="2"/>
        </w:rPr>
        <w:t>及时</w:t>
      </w:r>
      <w:r>
        <w:rPr>
          <w:rFonts w:hint="eastAsia" w:ascii="仿宋_GB2312" w:hAnsi="等线"/>
          <w:snapToGrid/>
          <w:kern w:val="2"/>
        </w:rPr>
        <w:t>疏散、撤离、安置入住的老年人，预防危害发生</w:t>
      </w:r>
      <w:r>
        <w:rPr>
          <w:rFonts w:ascii="仿宋_GB2312" w:hAnsi="等线"/>
          <w:snapToGrid/>
          <w:kern w:val="2"/>
        </w:rPr>
        <w:t>或者</w:t>
      </w:r>
      <w:r>
        <w:rPr>
          <w:rFonts w:hint="eastAsia" w:ascii="仿宋_GB2312" w:hAnsi="等线"/>
          <w:snapToGrid/>
          <w:kern w:val="2"/>
        </w:rPr>
        <w:t>防止危害扩大，并依法</w:t>
      </w:r>
      <w:r>
        <w:rPr>
          <w:rFonts w:ascii="仿宋_GB2312" w:hAnsi="等线"/>
          <w:snapToGrid/>
          <w:kern w:val="2"/>
        </w:rPr>
        <w:t>向有关部门报告</w:t>
      </w:r>
      <w:r>
        <w:rPr>
          <w:rFonts w:hint="eastAsia" w:ascii="仿宋_GB2312" w:hAnsi="等线"/>
          <w:snapToGrid/>
          <w:kern w:val="2"/>
        </w:rPr>
        <w:t>。</w:t>
      </w:r>
    </w:p>
    <w:p>
      <w:pPr>
        <w:spacing w:line="560" w:lineRule="exact"/>
        <w:ind w:firstLine="640" w:firstLineChars="200"/>
        <w:rPr>
          <w:rFonts w:ascii="仿宋_GB2312"/>
        </w:rPr>
      </w:pPr>
      <w:bookmarkStart w:id="41" w:name="_Toc18071678"/>
      <w:bookmarkStart w:id="42" w:name="_Toc21971222"/>
      <w:r>
        <w:rPr>
          <w:rFonts w:hint="eastAsia" w:ascii="黑体" w:hAnsi="黑体" w:eastAsia="黑体"/>
          <w:bCs/>
          <w:snapToGrid/>
          <w:kern w:val="2"/>
        </w:rPr>
        <w:t>第三十八条</w:t>
      </w:r>
      <w:bookmarkEnd w:id="41"/>
      <w:bookmarkEnd w:id="42"/>
      <w:r>
        <w:rPr>
          <w:rFonts w:hint="eastAsia" w:ascii="黑体" w:hAnsi="黑体" w:eastAsia="黑体"/>
          <w:bCs/>
          <w:snapToGrid/>
          <w:kern w:val="2"/>
        </w:rPr>
        <w:t xml:space="preserve">  </w:t>
      </w:r>
      <w:r>
        <w:rPr>
          <w:rFonts w:hint="eastAsia" w:ascii="仿宋_GB2312" w:hAnsi="等线"/>
          <w:snapToGrid/>
          <w:kern w:val="2"/>
        </w:rPr>
        <w:t>养老机构暂停、终止养老服务的，应当在暂停或者终止服务六十日前，向备案的民政部门提交老年人安置方案。安置方案应当明确收住老年人的数量、安置计划以及实施日期等内容。民政部门应当及时督促养老机构实施安置方案，为其妥善安置老年人提供帮助。</w:t>
      </w:r>
    </w:p>
    <w:p>
      <w:pPr>
        <w:spacing w:line="560" w:lineRule="exact"/>
        <w:ind w:firstLine="640" w:firstLineChars="200"/>
        <w:rPr>
          <w:rFonts w:eastAsia="等线"/>
          <w:bCs/>
        </w:rPr>
      </w:pPr>
      <w:bookmarkStart w:id="43" w:name="_Toc21971223"/>
      <w:bookmarkStart w:id="44" w:name="_Toc18071680"/>
      <w:r>
        <w:rPr>
          <w:rFonts w:hint="eastAsia" w:ascii="黑体" w:hAnsi="黑体" w:eastAsia="黑体"/>
          <w:bCs/>
          <w:snapToGrid/>
          <w:kern w:val="2"/>
        </w:rPr>
        <w:t>第三十九条</w:t>
      </w:r>
      <w:bookmarkEnd w:id="43"/>
      <w:bookmarkEnd w:id="44"/>
      <w:r>
        <w:rPr>
          <w:rFonts w:hint="eastAsia" w:ascii="黑体" w:hAnsi="黑体" w:eastAsia="黑体"/>
          <w:bCs/>
          <w:snapToGrid/>
          <w:kern w:val="2"/>
        </w:rPr>
        <w:t xml:space="preserve">  </w:t>
      </w:r>
      <w:r>
        <w:rPr>
          <w:rFonts w:hint="eastAsia" w:ascii="仿宋_GB2312" w:hAnsi="等线"/>
          <w:snapToGrid/>
          <w:kern w:val="2"/>
        </w:rPr>
        <w:t>鼓励、支持社会资本通过参资入股、整体租赁、委托管理等方式，建设、运营、管理公办养老机构。</w:t>
      </w:r>
    </w:p>
    <w:p>
      <w:pPr>
        <w:spacing w:line="560" w:lineRule="exact"/>
        <w:ind w:firstLine="640" w:firstLineChars="200"/>
        <w:rPr>
          <w:rFonts w:ascii="仿宋_GB2312"/>
        </w:rPr>
      </w:pPr>
      <w:r>
        <w:rPr>
          <w:rFonts w:hint="eastAsia" w:ascii="仿宋_GB2312" w:hAnsi="等线"/>
          <w:snapToGrid/>
          <w:kern w:val="2"/>
        </w:rPr>
        <w:t>以委托管理方式运营的，运营方应当定期向委托方报告机构资产、运营以及其他重大情况。</w:t>
      </w:r>
    </w:p>
    <w:p>
      <w:pPr>
        <w:spacing w:line="560" w:lineRule="exact"/>
        <w:ind w:firstLine="640" w:firstLineChars="200"/>
        <w:rPr>
          <w:rFonts w:ascii="仿宋_GB2312"/>
        </w:rPr>
      </w:pPr>
      <w:r>
        <w:rPr>
          <w:rFonts w:hint="eastAsia" w:ascii="黑体" w:hAnsi="黑体" w:eastAsia="黑体"/>
          <w:snapToGrid/>
          <w:kern w:val="2"/>
        </w:rPr>
        <w:t xml:space="preserve">第四十条  </w:t>
      </w:r>
      <w:r>
        <w:rPr>
          <w:rFonts w:hint="eastAsia" w:ascii="仿宋_GB2312" w:hAnsi="等线"/>
          <w:snapToGrid/>
          <w:kern w:val="2"/>
        </w:rPr>
        <w:t>各级人民政府和有关部门应当支持社会力量在社区建设养老机构或者设立养老机构服务网点，满足城乡老年人就近接受机构养老服务的需求。</w:t>
      </w:r>
    </w:p>
    <w:p>
      <w:pPr>
        <w:spacing w:line="560" w:lineRule="exact"/>
        <w:ind w:firstLine="640" w:firstLineChars="200"/>
        <w:rPr>
          <w:rFonts w:ascii="仿宋_GB2312"/>
        </w:rPr>
      </w:pPr>
      <w:bookmarkStart w:id="45" w:name="_Toc18071681"/>
      <w:bookmarkStart w:id="46" w:name="_Toc21971224"/>
      <w:r>
        <w:rPr>
          <w:rFonts w:hint="eastAsia" w:ascii="黑体" w:hAnsi="黑体" w:eastAsia="黑体"/>
          <w:snapToGrid/>
          <w:kern w:val="2"/>
        </w:rPr>
        <w:t xml:space="preserve">第四十一条  </w:t>
      </w:r>
      <w:r>
        <w:rPr>
          <w:rFonts w:hint="eastAsia" w:ascii="仿宋_GB2312" w:hAnsi="等线"/>
          <w:snapToGrid/>
          <w:kern w:val="2"/>
        </w:rPr>
        <w:t>县（市、区）人民政府以及乡镇人民政府、街道办事处应当采取措施，改善敬老院等农村特困人员供养机构的设施和环境条件，确保有集中供养意愿的农村特困人员中的老年人应养尽养。</w:t>
      </w:r>
    </w:p>
    <w:p>
      <w:pPr>
        <w:spacing w:line="560" w:lineRule="exact"/>
        <w:ind w:firstLine="640" w:firstLineChars="200"/>
        <w:rPr>
          <w:rFonts w:ascii="仿宋_GB2312"/>
        </w:rPr>
      </w:pPr>
      <w:r>
        <w:rPr>
          <w:rFonts w:hint="eastAsia" w:ascii="仿宋_GB2312" w:hAnsi="等线"/>
          <w:snapToGrid/>
          <w:kern w:val="2"/>
        </w:rPr>
        <w:t>鼓励支持通过改建、扩建等方式，引入社会资本和专业管理服务，将农村特困人员供养机构建设为区域性养老服务中心，向社会提供养老服务。</w:t>
      </w:r>
    </w:p>
    <w:p>
      <w:pPr>
        <w:spacing w:line="560" w:lineRule="exact"/>
        <w:ind w:firstLine="640" w:firstLineChars="200"/>
        <w:rPr>
          <w:rFonts w:ascii="仿宋_GB2312"/>
        </w:rPr>
      </w:pPr>
      <w:r>
        <w:rPr>
          <w:rFonts w:hint="eastAsia" w:ascii="仿宋_GB2312" w:hAnsi="等线"/>
          <w:snapToGrid/>
          <w:kern w:val="2"/>
        </w:rPr>
        <w:t>县级以上人民政府民政部门应当建立城市与农村养老服务对口支援和合作机制，通过人员培训、技术指导、设备支援等帮扶方式，提高农村养老服务水平。</w:t>
      </w:r>
    </w:p>
    <w:p>
      <w:pPr>
        <w:spacing w:line="560" w:lineRule="exact"/>
        <w:jc w:val="center"/>
        <w:rPr>
          <w:rFonts w:ascii="黑体" w:hAnsi="黑体" w:eastAsia="黑体"/>
        </w:rPr>
      </w:pPr>
    </w:p>
    <w:p>
      <w:pPr>
        <w:spacing w:line="560" w:lineRule="exact"/>
        <w:jc w:val="center"/>
        <w:rPr>
          <w:rFonts w:ascii="黑体" w:hAnsi="黑体" w:eastAsia="黑体"/>
        </w:rPr>
      </w:pPr>
      <w:r>
        <w:rPr>
          <w:rFonts w:hint="eastAsia" w:ascii="黑体" w:hAnsi="黑体" w:eastAsia="黑体"/>
          <w:snapToGrid/>
          <w:kern w:val="2"/>
        </w:rPr>
        <w:t>第五章  医养康养结合服务</w:t>
      </w:r>
      <w:bookmarkEnd w:id="45"/>
      <w:bookmarkEnd w:id="46"/>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hAnsi="黑体" w:eastAsia="黑体"/>
          <w:bCs/>
          <w:snapToGrid/>
          <w:kern w:val="2"/>
        </w:rPr>
        <w:t xml:space="preserve">第四十二条  </w:t>
      </w:r>
      <w:r>
        <w:rPr>
          <w:rFonts w:hint="eastAsia" w:ascii="仿宋_GB2312" w:hAnsi="等线"/>
          <w:snapToGrid/>
          <w:kern w:val="2"/>
        </w:rPr>
        <w:t>县级以上人民政府卫生健康、民政、医疗保障等部门应当建立健全医养结合工作机制，根据老年人口数量和分布等情况，统筹医疗卫生和养老服务设施、资源，发挥互补优势，促进医疗卫生与养老服务融合发展。</w:t>
      </w:r>
      <w:bookmarkStart w:id="47" w:name="_Toc18071683"/>
    </w:p>
    <w:bookmarkEnd w:id="47"/>
    <w:p>
      <w:pPr>
        <w:spacing w:line="560" w:lineRule="exact"/>
        <w:ind w:firstLine="640" w:firstLineChars="200"/>
        <w:rPr>
          <w:rFonts w:ascii="仿宋_GB2312"/>
        </w:rPr>
      </w:pPr>
      <w:r>
        <w:rPr>
          <w:rFonts w:hint="eastAsia" w:ascii="黑体" w:hAnsi="黑体" w:eastAsia="黑体"/>
          <w:bCs/>
          <w:snapToGrid/>
          <w:kern w:val="2"/>
        </w:rPr>
        <w:t xml:space="preserve">第四十三条  </w:t>
      </w:r>
      <w:r>
        <w:rPr>
          <w:rFonts w:hint="eastAsia" w:ascii="仿宋_GB2312" w:hAnsi="等线"/>
          <w:snapToGrid/>
          <w:kern w:val="2"/>
        </w:rPr>
        <w:t>养老机构与医疗机构应当开展双向合作，形成医疗护理与养老服务之间的转介机制，建立康复病床、预约就诊、双向转诊、急诊就诊等医疗服务绿色通道。</w:t>
      </w:r>
    </w:p>
    <w:p>
      <w:pPr>
        <w:spacing w:line="560" w:lineRule="exact"/>
        <w:ind w:firstLine="640" w:firstLineChars="200"/>
        <w:rPr>
          <w:rFonts w:ascii="仿宋_GB2312"/>
        </w:rPr>
      </w:pPr>
      <w:r>
        <w:rPr>
          <w:rFonts w:hint="eastAsia" w:ascii="仿宋_GB2312" w:hAnsi="等线"/>
          <w:snapToGrid/>
          <w:kern w:val="2"/>
        </w:rPr>
        <w:t>鼓励有条件的养老机构承接医疗机构内需要长期照护的失能老年人。</w:t>
      </w:r>
    </w:p>
    <w:p>
      <w:pPr>
        <w:spacing w:line="560" w:lineRule="exact"/>
        <w:ind w:firstLine="640" w:firstLineChars="200"/>
        <w:rPr>
          <w:rFonts w:ascii="仿宋_GB2312"/>
        </w:rPr>
      </w:pPr>
      <w:r>
        <w:rPr>
          <w:rFonts w:hint="eastAsia" w:ascii="黑体" w:hAnsi="黑体" w:eastAsia="黑体"/>
          <w:bCs/>
          <w:snapToGrid/>
          <w:kern w:val="2"/>
        </w:rPr>
        <w:t xml:space="preserve">第四十四条  </w:t>
      </w:r>
      <w:r>
        <w:rPr>
          <w:rFonts w:hint="eastAsia" w:ascii="仿宋_GB2312" w:hAnsi="等线"/>
          <w:snapToGrid/>
          <w:kern w:val="2"/>
        </w:rPr>
        <w:t>县级以上人民政府卫生健康、</w:t>
      </w:r>
      <w:r>
        <w:rPr>
          <w:rFonts w:ascii="仿宋_GB2312" w:hAnsi="等线"/>
          <w:snapToGrid/>
          <w:kern w:val="2"/>
        </w:rPr>
        <w:t>医疗保障</w:t>
      </w:r>
      <w:r>
        <w:rPr>
          <w:rFonts w:hint="eastAsia" w:ascii="仿宋_GB2312" w:hAnsi="等线"/>
          <w:snapToGrid/>
          <w:kern w:val="2"/>
        </w:rPr>
        <w:t>部门应当支持养老机构设立老年医院、康复医疗</w:t>
      </w:r>
      <w:r>
        <w:rPr>
          <w:rFonts w:ascii="仿宋_GB2312" w:hAnsi="等线"/>
          <w:snapToGrid/>
          <w:kern w:val="2"/>
        </w:rPr>
        <w:t>中心、</w:t>
      </w:r>
      <w:r>
        <w:rPr>
          <w:rFonts w:hint="eastAsia" w:ascii="仿宋_GB2312" w:hAnsi="等线"/>
          <w:snapToGrid/>
          <w:kern w:val="2"/>
        </w:rPr>
        <w:t>护理中心等医疗机构或者在其内部设置门诊部、医务室、</w:t>
      </w:r>
      <w:r>
        <w:rPr>
          <w:rFonts w:ascii="仿宋_GB2312" w:hAnsi="等线"/>
          <w:snapToGrid/>
          <w:kern w:val="2"/>
        </w:rPr>
        <w:t>护理站</w:t>
      </w:r>
      <w:r>
        <w:rPr>
          <w:rFonts w:hint="eastAsia" w:ascii="仿宋_GB2312" w:hAnsi="等线"/>
          <w:snapToGrid/>
          <w:kern w:val="2"/>
        </w:rPr>
        <w:t>等医疗卫生服务场所，将符合条件的医疗机构和服务场所纳入医保定点范围。</w:t>
      </w:r>
    </w:p>
    <w:p>
      <w:pPr>
        <w:spacing w:line="560" w:lineRule="exact"/>
        <w:ind w:firstLine="640" w:firstLineChars="200"/>
        <w:rPr>
          <w:rFonts w:ascii="仿宋_GB2312"/>
        </w:rPr>
      </w:pPr>
      <w:r>
        <w:rPr>
          <w:rFonts w:hint="eastAsia" w:ascii="黑体" w:hAnsi="黑体" w:eastAsia="黑体"/>
          <w:bCs/>
          <w:snapToGrid/>
          <w:kern w:val="2"/>
        </w:rPr>
        <w:t xml:space="preserve">第四十五条  </w:t>
      </w:r>
      <w:r>
        <w:rPr>
          <w:rFonts w:hint="eastAsia" w:ascii="仿宋_GB2312" w:hAnsi="等线"/>
          <w:snapToGrid/>
          <w:kern w:val="2"/>
        </w:rPr>
        <w:t>县级以上人民政府卫生健康、民政等部门应当支持医疗机构设立养老机构、设置老年病专科和门诊，并可以将利用率较低的医院转型为提供养老、康复、护理等服务的医养结合机构。</w:t>
      </w:r>
    </w:p>
    <w:p>
      <w:pPr>
        <w:spacing w:line="560" w:lineRule="exact"/>
        <w:ind w:firstLine="640" w:firstLineChars="200"/>
        <w:rPr>
          <w:rFonts w:ascii="仿宋_GB2312"/>
        </w:rPr>
      </w:pPr>
      <w:r>
        <w:rPr>
          <w:rFonts w:hint="eastAsia" w:ascii="仿宋_GB2312" w:hAnsi="等线"/>
          <w:snapToGrid/>
          <w:kern w:val="2"/>
        </w:rPr>
        <w:t>具备法人资格的医疗机构设立养老机构的，按照国家规定可以不再另行设立新的法人。</w:t>
      </w:r>
      <w:bookmarkStart w:id="48" w:name="_Toc18071686"/>
    </w:p>
    <w:bookmarkEnd w:id="48"/>
    <w:p>
      <w:pPr>
        <w:spacing w:line="560" w:lineRule="exact"/>
        <w:ind w:firstLine="640" w:firstLineChars="200"/>
        <w:rPr>
          <w:rFonts w:ascii="仿宋_GB2312"/>
        </w:rPr>
      </w:pPr>
      <w:r>
        <w:rPr>
          <w:rFonts w:hint="eastAsia" w:ascii="黑体" w:hAnsi="黑体" w:eastAsia="黑体"/>
          <w:bCs/>
          <w:snapToGrid/>
          <w:kern w:val="2"/>
        </w:rPr>
        <w:t xml:space="preserve">第四十六条  </w:t>
      </w:r>
      <w:r>
        <w:rPr>
          <w:rFonts w:hint="eastAsia" w:ascii="仿宋_GB2312" w:hAnsi="等线"/>
          <w:snapToGrid/>
          <w:kern w:val="2"/>
        </w:rPr>
        <w:t>县级以上人民政府卫生健康部门应当充分发挥中医药在健康养老中的作用，开展老年人养生、医疗、护理、康复服务，将中医诊疗、中医治未病、中医药保健康复融入健康养老全过程。</w:t>
      </w:r>
    </w:p>
    <w:p>
      <w:pPr>
        <w:spacing w:line="560" w:lineRule="exact"/>
        <w:ind w:firstLine="640" w:firstLineChars="200"/>
        <w:rPr>
          <w:rFonts w:ascii="仿宋_GB2312"/>
        </w:rPr>
      </w:pPr>
      <w:r>
        <w:rPr>
          <w:rFonts w:hint="eastAsia" w:ascii="黑体" w:hAnsi="黑体" w:eastAsia="黑体"/>
          <w:bCs/>
          <w:snapToGrid/>
          <w:kern w:val="2"/>
        </w:rPr>
        <w:t xml:space="preserve">第四十七条  </w:t>
      </w:r>
      <w:r>
        <w:rPr>
          <w:rFonts w:hint="eastAsia" w:ascii="仿宋_GB2312" w:hAnsi="等线"/>
          <w:snapToGrid/>
          <w:kern w:val="2"/>
        </w:rPr>
        <w:t>鼓励和支持符合条件的执业医师、注册护士到养老机构设立的医疗机构执业或者在养老机构内开办门诊部、医务室、护理站。支持有相关专业特长的医师和其他专业人员在养老机构开展疾病预防、营养、中医调理养生等健康服务。</w:t>
      </w:r>
    </w:p>
    <w:p>
      <w:pPr>
        <w:spacing w:line="560" w:lineRule="exact"/>
        <w:ind w:firstLine="640" w:firstLineChars="200"/>
        <w:rPr>
          <w:rFonts w:ascii="仿宋_GB2312"/>
        </w:rPr>
      </w:pPr>
      <w:r>
        <w:rPr>
          <w:rFonts w:hint="eastAsia" w:ascii="仿宋_GB2312" w:hAnsi="等线"/>
          <w:snapToGrid/>
          <w:kern w:val="2"/>
        </w:rPr>
        <w:t>养老服务组织聘用的医护人员，在职称评定、职业技能培训等方面与医疗机构同类专业技术人员享受同等待遇。</w:t>
      </w:r>
      <w:bookmarkStart w:id="49" w:name="_Toc18071691"/>
      <w:bookmarkStart w:id="50" w:name="_Toc21971231"/>
    </w:p>
    <w:p>
      <w:pPr>
        <w:spacing w:line="560" w:lineRule="exact"/>
        <w:jc w:val="center"/>
        <w:rPr>
          <w:rFonts w:ascii="仿宋_GB2312"/>
        </w:rPr>
      </w:pPr>
    </w:p>
    <w:p>
      <w:pPr>
        <w:spacing w:line="560" w:lineRule="exact"/>
        <w:jc w:val="center"/>
        <w:rPr>
          <w:rFonts w:ascii="仿宋_GB2312"/>
        </w:rPr>
      </w:pPr>
      <w:r>
        <w:rPr>
          <w:rFonts w:hint="eastAsia" w:ascii="黑体" w:hAnsi="黑体" w:eastAsia="黑体"/>
          <w:snapToGrid/>
          <w:kern w:val="2"/>
        </w:rPr>
        <w:t>第六章  扶持保障措施</w:t>
      </w:r>
      <w:bookmarkEnd w:id="49"/>
      <w:bookmarkEnd w:id="50"/>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hAnsi="黑体" w:eastAsia="黑体"/>
          <w:bCs/>
          <w:snapToGrid/>
          <w:kern w:val="2"/>
        </w:rPr>
        <w:t xml:space="preserve">第四十八条  </w:t>
      </w:r>
      <w:r>
        <w:rPr>
          <w:rFonts w:hint="eastAsia" w:ascii="仿宋_GB2312" w:hAnsi="等线"/>
          <w:snapToGrid/>
          <w:kern w:val="2"/>
        </w:rPr>
        <w:t>县级以上人民政府应当设立养老服务专项资金，并根据经济发展水平和老年人服务需求逐步增加对养老服务的投入。</w:t>
      </w:r>
    </w:p>
    <w:p>
      <w:pPr>
        <w:spacing w:line="560" w:lineRule="exact"/>
        <w:ind w:firstLine="640" w:firstLineChars="200"/>
        <w:rPr>
          <w:rFonts w:ascii="仿宋_GB2312"/>
        </w:rPr>
      </w:pPr>
      <w:r>
        <w:rPr>
          <w:rFonts w:hint="eastAsia" w:ascii="仿宋_GB2312" w:hAnsi="等线"/>
          <w:snapToGrid/>
          <w:kern w:val="2"/>
        </w:rPr>
        <w:t>县级以上人民政府留成的福利彩票公益金，按照国家和省规定的比例用于支持发展养老服务。</w:t>
      </w:r>
      <w:bookmarkStart w:id="51" w:name="_Toc18071693"/>
      <w:bookmarkStart w:id="52" w:name="_Toc21971233"/>
    </w:p>
    <w:p>
      <w:pPr>
        <w:spacing w:line="560" w:lineRule="exact"/>
        <w:ind w:firstLine="640" w:firstLineChars="200"/>
        <w:rPr>
          <w:rFonts w:ascii="仿宋_GB2312"/>
        </w:rPr>
      </w:pPr>
      <w:r>
        <w:rPr>
          <w:rFonts w:hint="eastAsia" w:ascii="仿宋_GB2312" w:hAnsi="等线"/>
          <w:snapToGrid/>
          <w:kern w:val="2"/>
        </w:rPr>
        <w:t>鼓励有条件的村将经营收入、土地流转、集体经营性建设用地出租出让等集体经济收益，通过法定程序，按照一定比例用于解决本村老年人的养老服务需求。</w:t>
      </w:r>
    </w:p>
    <w:bookmarkEnd w:id="51"/>
    <w:bookmarkEnd w:id="52"/>
    <w:p>
      <w:pPr>
        <w:spacing w:line="560" w:lineRule="exact"/>
        <w:ind w:firstLine="640" w:firstLineChars="200"/>
        <w:rPr>
          <w:rFonts w:ascii="仿宋_GB2312"/>
        </w:rPr>
      </w:pPr>
      <w:r>
        <w:rPr>
          <w:rFonts w:hint="eastAsia" w:ascii="黑体" w:hAnsi="黑体" w:eastAsia="黑体"/>
          <w:bCs/>
          <w:snapToGrid/>
          <w:kern w:val="2"/>
        </w:rPr>
        <w:t xml:space="preserve">第四十九条  </w:t>
      </w:r>
      <w:r>
        <w:rPr>
          <w:rFonts w:hint="eastAsia" w:ascii="仿宋_GB2312" w:hAnsi="等线"/>
          <w:snapToGrid/>
          <w:kern w:val="2"/>
        </w:rPr>
        <w:t>县级以上人民政府应当定期发布基本养老公共服务清单，明确基本养老公共服务项目、供给对象、供给方式、服务标准和支出责任主体。</w:t>
      </w:r>
    </w:p>
    <w:p>
      <w:pPr>
        <w:spacing w:line="560" w:lineRule="exact"/>
        <w:ind w:firstLine="640" w:firstLineChars="200"/>
        <w:rPr>
          <w:rFonts w:ascii="仿宋_GB2312"/>
        </w:rPr>
      </w:pPr>
      <w:r>
        <w:rPr>
          <w:rFonts w:hint="eastAsia" w:ascii="黑体" w:hAnsi="黑体" w:eastAsia="黑体"/>
          <w:bCs/>
          <w:snapToGrid/>
          <w:kern w:val="2"/>
        </w:rPr>
        <w:t xml:space="preserve">第五十条  </w:t>
      </w:r>
      <w:r>
        <w:rPr>
          <w:rFonts w:hint="eastAsia" w:ascii="仿宋_GB2312" w:hAnsi="等线"/>
          <w:snapToGrid/>
          <w:kern w:val="2"/>
        </w:rPr>
        <w:t>养老服务组织按照国家和省有关规定享受税收优惠和行政事业性收费减免政策；符合条件的，由县级以上人民政府给予建设、运营补贴。</w:t>
      </w:r>
    </w:p>
    <w:p>
      <w:pPr>
        <w:spacing w:line="560" w:lineRule="exact"/>
        <w:ind w:firstLine="640" w:firstLineChars="200"/>
        <w:rPr>
          <w:rFonts w:ascii="仿宋_GB2312"/>
        </w:rPr>
      </w:pPr>
      <w:r>
        <w:rPr>
          <w:rFonts w:hint="eastAsia" w:ascii="仿宋_GB2312" w:hAnsi="等线"/>
          <w:snapToGrid/>
          <w:kern w:val="2"/>
        </w:rPr>
        <w:t>养老服务组织用水、用电、用气、用热，按照居民生活类价格标准收费; 安装、</w:t>
      </w:r>
      <w:r>
        <w:rPr>
          <w:rFonts w:ascii="仿宋_GB2312" w:hAnsi="等线"/>
          <w:snapToGrid/>
          <w:kern w:val="2"/>
        </w:rPr>
        <w:t>使用和维护</w:t>
      </w:r>
      <w:r>
        <w:rPr>
          <w:rFonts w:hint="eastAsia" w:ascii="仿宋_GB2312" w:hAnsi="等线"/>
          <w:snapToGrid/>
          <w:kern w:val="2"/>
        </w:rPr>
        <w:t>固定电话、有线（数字）电视、宽带互联网，按照国家和省有关规定减免收费。</w:t>
      </w:r>
    </w:p>
    <w:p>
      <w:pPr>
        <w:spacing w:line="560" w:lineRule="exact"/>
        <w:ind w:firstLine="640" w:firstLineChars="200"/>
        <w:rPr>
          <w:rFonts w:ascii="仿宋_GB2312"/>
        </w:rPr>
      </w:pPr>
      <w:r>
        <w:rPr>
          <w:rFonts w:hint="eastAsia" w:ascii="黑体" w:hAnsi="黑体" w:eastAsia="黑体"/>
          <w:bCs/>
          <w:snapToGrid/>
          <w:kern w:val="2"/>
        </w:rPr>
        <w:t xml:space="preserve">第五十一条  </w:t>
      </w:r>
      <w:r>
        <w:rPr>
          <w:rFonts w:hint="eastAsia" w:ascii="仿宋_GB2312" w:hAnsi="等线"/>
          <w:snapToGrid/>
          <w:kern w:val="2"/>
        </w:rPr>
        <w:t>鼓励单位和个人对养老服务事业进行捐赠，组织开展结对帮扶</w:t>
      </w:r>
      <w:r>
        <w:rPr>
          <w:rFonts w:ascii="仿宋_GB2312" w:hAnsi="等线"/>
          <w:snapToGrid/>
          <w:kern w:val="2"/>
        </w:rPr>
        <w:t>、定期探视</w:t>
      </w:r>
      <w:r>
        <w:rPr>
          <w:rFonts w:hint="eastAsia" w:ascii="仿宋_GB2312" w:hAnsi="等线"/>
          <w:snapToGrid/>
          <w:kern w:val="2"/>
        </w:rPr>
        <w:t>等形式的老年人关爱服务活动。</w:t>
      </w:r>
    </w:p>
    <w:p>
      <w:pPr>
        <w:spacing w:line="560" w:lineRule="exact"/>
        <w:ind w:firstLine="640" w:firstLineChars="200"/>
        <w:rPr>
          <w:rFonts w:ascii="仿宋_GB2312"/>
        </w:rPr>
      </w:pPr>
      <w:r>
        <w:rPr>
          <w:rFonts w:hint="eastAsia" w:ascii="仿宋_GB2312" w:hAnsi="等线"/>
          <w:snapToGrid/>
          <w:kern w:val="2"/>
        </w:rPr>
        <w:t>县级以上人民政府民政部门应当培育和扶持各类为老年人服务的志愿服务组织，建立健全服务时间记录、储蓄、回馈等激励机制。</w:t>
      </w:r>
    </w:p>
    <w:p>
      <w:pPr>
        <w:spacing w:line="560" w:lineRule="exact"/>
        <w:ind w:firstLine="640" w:firstLineChars="200"/>
        <w:rPr>
          <w:rFonts w:ascii="仿宋_GB2312"/>
        </w:rPr>
      </w:pPr>
      <w:r>
        <w:rPr>
          <w:rFonts w:hint="eastAsia" w:ascii="黑体" w:hAnsi="黑体" w:eastAsia="黑体"/>
          <w:bCs/>
          <w:snapToGrid/>
          <w:kern w:val="2"/>
        </w:rPr>
        <w:t xml:space="preserve">第五十二条  </w:t>
      </w:r>
      <w:r>
        <w:rPr>
          <w:rFonts w:hint="eastAsia" w:ascii="仿宋_GB2312" w:hAnsi="等线"/>
          <w:snapToGrid/>
          <w:kern w:val="2"/>
        </w:rPr>
        <w:t>县级以上人民政府应当健全养老服务人才培养引进、岗位（职务）晋升、激励评价机制，并对从事养老服务工作的高等学校、中等职业学校毕业生按照规定给予入职补贴。</w:t>
      </w:r>
    </w:p>
    <w:p>
      <w:pPr>
        <w:spacing w:line="560" w:lineRule="exact"/>
        <w:ind w:firstLine="640" w:firstLineChars="200"/>
        <w:rPr>
          <w:rFonts w:ascii="仿宋_GB2312"/>
        </w:rPr>
      </w:pPr>
      <w:r>
        <w:rPr>
          <w:rFonts w:hint="eastAsia" w:ascii="仿宋_GB2312" w:hAnsi="等线"/>
          <w:snapToGrid/>
          <w:kern w:val="2"/>
        </w:rPr>
        <w:t>高等学校、中等职业学校开设养老服务相关专业的，按照规定给予奖励补助。</w:t>
      </w:r>
    </w:p>
    <w:p>
      <w:pPr>
        <w:spacing w:line="560" w:lineRule="exact"/>
        <w:ind w:firstLine="640" w:firstLineChars="200"/>
        <w:rPr>
          <w:rFonts w:ascii="仿宋_GB2312"/>
        </w:rPr>
      </w:pPr>
      <w:r>
        <w:rPr>
          <w:rFonts w:hint="eastAsia" w:ascii="黑体" w:hAnsi="黑体" w:eastAsia="黑体"/>
          <w:bCs/>
          <w:snapToGrid/>
          <w:kern w:val="2"/>
        </w:rPr>
        <w:t xml:space="preserve">第五十三条  </w:t>
      </w:r>
      <w:r>
        <w:rPr>
          <w:rFonts w:hint="eastAsia" w:ascii="仿宋_GB2312" w:hAnsi="等线"/>
          <w:snapToGrid/>
          <w:kern w:val="2"/>
        </w:rPr>
        <w:t>县级以上人民政府和有关部门可以通过购买服务等方式，开展失能老年人家庭照护者技能培训，组织有关社会组织、红十字会等开展养老照护、应急救护知识和技能培训。</w:t>
      </w:r>
    </w:p>
    <w:p>
      <w:pPr>
        <w:spacing w:line="560" w:lineRule="exact"/>
        <w:ind w:firstLine="640" w:firstLineChars="200"/>
        <w:rPr>
          <w:rFonts w:ascii="仿宋_GB2312"/>
        </w:rPr>
      </w:pPr>
      <w:r>
        <w:rPr>
          <w:rFonts w:hint="eastAsia" w:ascii="仿宋_GB2312" w:hAnsi="等线"/>
          <w:snapToGrid/>
          <w:kern w:val="2"/>
        </w:rPr>
        <w:t>养老服务组织应当定期组织工作人员进行职业道德教育和技能培训。</w:t>
      </w:r>
    </w:p>
    <w:p>
      <w:pPr>
        <w:spacing w:line="560" w:lineRule="exact"/>
        <w:ind w:firstLine="640" w:firstLineChars="200"/>
        <w:rPr>
          <w:rFonts w:ascii="仿宋_GB2312"/>
        </w:rPr>
      </w:pPr>
      <w:r>
        <w:rPr>
          <w:rFonts w:hint="eastAsia" w:ascii="黑体" w:hAnsi="黑体" w:eastAsia="黑体"/>
          <w:bCs/>
          <w:snapToGrid/>
          <w:kern w:val="2"/>
        </w:rPr>
        <w:t xml:space="preserve">第五十四条  </w:t>
      </w:r>
      <w:r>
        <w:rPr>
          <w:rFonts w:hint="eastAsia" w:ascii="仿宋_GB2312" w:hAnsi="等线"/>
          <w:snapToGrid/>
          <w:kern w:val="2"/>
        </w:rPr>
        <w:t>鼓励、支持金融机构创新金融产品，加大对养老服务的金融支持力度。</w:t>
      </w:r>
    </w:p>
    <w:p>
      <w:pPr>
        <w:spacing w:line="560" w:lineRule="exact"/>
        <w:ind w:firstLine="640" w:firstLineChars="200"/>
        <w:rPr>
          <w:rFonts w:ascii="仿宋_GB2312"/>
        </w:rPr>
      </w:pPr>
      <w:r>
        <w:rPr>
          <w:rFonts w:hint="eastAsia" w:ascii="仿宋_GB2312" w:hAnsi="等线"/>
          <w:snapToGrid/>
          <w:kern w:val="2"/>
        </w:rPr>
        <w:t>鼓励、支持养老服务组织拓展融资渠道，通过设立基金、发行债券等方式筹集资金。</w:t>
      </w:r>
      <w:bookmarkStart w:id="53" w:name="_Toc21971239"/>
      <w:bookmarkStart w:id="54" w:name="_Toc18071689"/>
    </w:p>
    <w:bookmarkEnd w:id="53"/>
    <w:bookmarkEnd w:id="54"/>
    <w:p>
      <w:pPr>
        <w:spacing w:line="560" w:lineRule="exact"/>
        <w:ind w:firstLine="640" w:firstLineChars="200"/>
        <w:rPr>
          <w:rFonts w:ascii="仿宋_GB2312"/>
        </w:rPr>
      </w:pPr>
      <w:r>
        <w:rPr>
          <w:rFonts w:hint="eastAsia" w:ascii="黑体" w:hAnsi="黑体" w:eastAsia="黑体"/>
          <w:bCs/>
          <w:snapToGrid/>
          <w:kern w:val="2"/>
        </w:rPr>
        <w:t xml:space="preserve">第五十五条  </w:t>
      </w:r>
      <w:r>
        <w:rPr>
          <w:rFonts w:hint="eastAsia" w:ascii="仿宋_GB2312" w:hAnsi="等线"/>
          <w:snapToGrid/>
          <w:kern w:val="2"/>
        </w:rPr>
        <w:t>县级以上人民政府应当组织推行长期护理保险制度，为符合条件的失能老年人提供基本生活和医疗护理服务，并逐步提高保障标准、扩大保障范围。</w:t>
      </w:r>
    </w:p>
    <w:p>
      <w:pPr>
        <w:spacing w:line="560" w:lineRule="exact"/>
        <w:ind w:firstLine="640" w:firstLineChars="200"/>
        <w:rPr>
          <w:rFonts w:ascii="仿宋_GB2312"/>
        </w:rPr>
      </w:pPr>
      <w:r>
        <w:rPr>
          <w:rFonts w:hint="eastAsia" w:ascii="仿宋_GB2312" w:hAnsi="等线"/>
          <w:snapToGrid/>
          <w:kern w:val="2"/>
        </w:rPr>
        <w:t>县级以上人民政府应当按照有关规定推进落实具有本省户籍的八十周岁以上老年人高龄津贴制度，并逐步提高津贴水平。</w:t>
      </w:r>
    </w:p>
    <w:p>
      <w:pPr>
        <w:spacing w:line="560" w:lineRule="exact"/>
        <w:ind w:firstLine="640" w:firstLineChars="200"/>
        <w:rPr>
          <w:rFonts w:ascii="仿宋_GB2312"/>
        </w:rPr>
      </w:pPr>
      <w:r>
        <w:rPr>
          <w:rFonts w:hint="eastAsia" w:ascii="仿宋_GB2312" w:hAnsi="等线"/>
          <w:snapToGrid/>
          <w:kern w:val="2"/>
        </w:rPr>
        <w:t>鼓励、支持商业保险机构开发适合老年人实际需求的健康保险、意外伤害保险和护理保险等产品</w:t>
      </w:r>
      <w:bookmarkStart w:id="55" w:name="_Toc18071701"/>
      <w:r>
        <w:rPr>
          <w:rFonts w:hint="eastAsia" w:ascii="仿宋_GB2312" w:hAnsi="等线"/>
          <w:snapToGrid/>
          <w:kern w:val="2"/>
        </w:rPr>
        <w:t>，满足个人和家庭个性化、差异化养老保障需求。</w:t>
      </w:r>
      <w:bookmarkStart w:id="56" w:name="_Toc21971240"/>
    </w:p>
    <w:p>
      <w:pPr>
        <w:spacing w:line="560" w:lineRule="exact"/>
        <w:ind w:firstLine="640" w:firstLineChars="200"/>
        <w:rPr>
          <w:rFonts w:ascii="仿宋_GB2312"/>
        </w:rPr>
      </w:pPr>
      <w:r>
        <w:rPr>
          <w:rFonts w:hint="eastAsia" w:ascii="黑体" w:hAnsi="黑体" w:eastAsia="黑体"/>
          <w:snapToGrid/>
          <w:kern w:val="2"/>
        </w:rPr>
        <w:t>第五十六条</w:t>
      </w:r>
      <w:r>
        <w:rPr>
          <w:rFonts w:ascii="黑体" w:hAnsi="黑体" w:eastAsia="黑体"/>
          <w:snapToGrid/>
          <w:kern w:val="2"/>
        </w:rPr>
        <w:t xml:space="preserve">  </w:t>
      </w:r>
      <w:r>
        <w:rPr>
          <w:rFonts w:ascii="仿宋_GB2312" w:hAnsi="等线"/>
          <w:snapToGrid/>
          <w:kern w:val="2"/>
        </w:rPr>
        <w:t>县级以上人民政府</w:t>
      </w:r>
      <w:r>
        <w:rPr>
          <w:rFonts w:hint="eastAsia" w:ascii="仿宋_GB2312" w:hAnsi="等线"/>
          <w:snapToGrid/>
          <w:kern w:val="2"/>
        </w:rPr>
        <w:t>应当统筹整合养老服务信息资源，建立健全养老服务信息共享机制，推进养老服务数据互联互通，实现跨部门、跨区域的协同合作和信息共享，推进养老服务与管理的智慧化应用。</w:t>
      </w:r>
    </w:p>
    <w:p>
      <w:pPr>
        <w:spacing w:line="560" w:lineRule="exact"/>
        <w:ind w:firstLine="640" w:firstLineChars="200"/>
        <w:rPr>
          <w:rFonts w:ascii="仿宋_GB2312"/>
        </w:rPr>
      </w:pPr>
      <w:r>
        <w:rPr>
          <w:rFonts w:hint="eastAsia" w:ascii="仿宋_GB2312" w:hAnsi="等线"/>
          <w:snapToGrid/>
          <w:kern w:val="2"/>
        </w:rPr>
        <w:t>鼓励、</w:t>
      </w:r>
      <w:r>
        <w:rPr>
          <w:rFonts w:ascii="仿宋_GB2312" w:hAnsi="等线"/>
          <w:snapToGrid/>
          <w:kern w:val="2"/>
        </w:rPr>
        <w:t>支持社会力量创新养老服务模式，开发和推广</w:t>
      </w:r>
      <w:r>
        <w:rPr>
          <w:rFonts w:hint="eastAsia" w:ascii="仿宋_GB2312" w:hAnsi="等线"/>
          <w:snapToGrid/>
          <w:kern w:val="2"/>
        </w:rPr>
        <w:t>智慧</w:t>
      </w:r>
      <w:r>
        <w:rPr>
          <w:rFonts w:ascii="仿宋_GB2312" w:hAnsi="等线"/>
          <w:snapToGrid/>
          <w:kern w:val="2"/>
        </w:rPr>
        <w:t>养老服务</w:t>
      </w:r>
      <w:r>
        <w:rPr>
          <w:rFonts w:hint="eastAsia" w:ascii="仿宋_GB2312" w:hAnsi="等线"/>
          <w:snapToGrid/>
          <w:kern w:val="2"/>
        </w:rPr>
        <w:t>平台，</w:t>
      </w:r>
      <w:r>
        <w:rPr>
          <w:rFonts w:ascii="仿宋_GB2312" w:hAnsi="等线"/>
          <w:snapToGrid/>
          <w:kern w:val="2"/>
        </w:rPr>
        <w:t>充分运用互联网、物联网、云计算、大数据等技术，集成市场和社会资源、促进供需对接，为老年人提供紧急</w:t>
      </w:r>
      <w:r>
        <w:rPr>
          <w:rFonts w:hint="eastAsia" w:ascii="仿宋_GB2312" w:hAnsi="等线"/>
          <w:snapToGrid/>
          <w:kern w:val="2"/>
        </w:rPr>
        <w:t>援助</w:t>
      </w:r>
      <w:r>
        <w:rPr>
          <w:rFonts w:ascii="仿宋_GB2312" w:hAnsi="等线"/>
          <w:snapToGrid/>
          <w:kern w:val="2"/>
        </w:rPr>
        <w:t>、</w:t>
      </w:r>
      <w:r>
        <w:rPr>
          <w:rFonts w:hint="eastAsia" w:ascii="仿宋_GB2312" w:hAnsi="等线"/>
          <w:snapToGrid/>
          <w:kern w:val="2"/>
        </w:rPr>
        <w:t>健康</w:t>
      </w:r>
      <w:r>
        <w:rPr>
          <w:rFonts w:ascii="仿宋_GB2312" w:hAnsi="等线"/>
          <w:snapToGrid/>
          <w:kern w:val="2"/>
        </w:rPr>
        <w:t>医疗、服务预约、安全监测等服务。</w:t>
      </w:r>
    </w:p>
    <w:p>
      <w:pPr>
        <w:spacing w:line="560" w:lineRule="exact"/>
        <w:ind w:firstLine="640" w:firstLineChars="200"/>
      </w:pPr>
      <w:r>
        <w:rPr>
          <w:rFonts w:hint="eastAsia" w:ascii="黑体" w:hAnsi="黑体" w:eastAsia="黑体"/>
          <w:bCs/>
          <w:snapToGrid/>
          <w:kern w:val="2"/>
        </w:rPr>
        <w:t xml:space="preserve">第五十七条  </w:t>
      </w:r>
      <w:r>
        <w:rPr>
          <w:rFonts w:ascii="仿宋_GB2312" w:hAnsi="等线"/>
          <w:snapToGrid/>
          <w:kern w:val="2"/>
        </w:rPr>
        <w:t>老年人患病住院期间，子女所在单位应当支持其护理照料老年人，给予适当陪护时间。</w:t>
      </w:r>
    </w:p>
    <w:p>
      <w:pPr>
        <w:spacing w:line="560" w:lineRule="exact"/>
        <w:jc w:val="center"/>
        <w:rPr>
          <w:rFonts w:ascii="仿宋_GB2312"/>
        </w:rPr>
      </w:pPr>
    </w:p>
    <w:p>
      <w:pPr>
        <w:spacing w:line="560" w:lineRule="exact"/>
        <w:jc w:val="center"/>
        <w:rPr>
          <w:rFonts w:ascii="仿宋_GB2312"/>
        </w:rPr>
      </w:pPr>
      <w:r>
        <w:rPr>
          <w:rFonts w:hint="eastAsia" w:ascii="黑体" w:hAnsi="黑体" w:eastAsia="黑体"/>
          <w:snapToGrid/>
          <w:kern w:val="2"/>
        </w:rPr>
        <w:t>第七章  监督管理</w:t>
      </w:r>
      <w:bookmarkEnd w:id="55"/>
      <w:bookmarkEnd w:id="56"/>
    </w:p>
    <w:p>
      <w:pPr>
        <w:spacing w:line="560" w:lineRule="exact"/>
      </w:pPr>
    </w:p>
    <w:p>
      <w:pPr>
        <w:spacing w:line="560" w:lineRule="exact"/>
        <w:ind w:firstLine="640" w:firstLineChars="200"/>
        <w:rPr>
          <w:rFonts w:ascii="仿宋_GB2312"/>
        </w:rPr>
      </w:pPr>
      <w:r>
        <w:rPr>
          <w:rFonts w:hint="eastAsia" w:ascii="黑体" w:hAnsi="黑体" w:eastAsia="黑体"/>
          <w:bCs/>
          <w:snapToGrid/>
          <w:kern w:val="2"/>
        </w:rPr>
        <w:t xml:space="preserve">第五十八条  </w:t>
      </w:r>
      <w:r>
        <w:rPr>
          <w:rFonts w:hint="eastAsia" w:ascii="仿宋_GB2312" w:hAnsi="等线"/>
          <w:snapToGrid/>
          <w:kern w:val="2"/>
        </w:rPr>
        <w:t>县级以上人民政府应当建立健全养老服务部门协同监督管理机制,完善事中事后监督管理措施,及时查处违法违规行为，依法维护老年人的合法权益。</w:t>
      </w:r>
    </w:p>
    <w:p>
      <w:pPr>
        <w:spacing w:line="560" w:lineRule="exact"/>
        <w:ind w:firstLine="640" w:firstLineChars="200"/>
        <w:rPr>
          <w:rFonts w:ascii="仿宋_GB2312"/>
        </w:rPr>
      </w:pPr>
      <w:r>
        <w:rPr>
          <w:rFonts w:hint="eastAsia" w:ascii="黑体" w:hAnsi="黑体" w:eastAsia="黑体"/>
          <w:bCs/>
          <w:snapToGrid/>
          <w:kern w:val="2"/>
        </w:rPr>
        <w:t xml:space="preserve">第五十九条  </w:t>
      </w:r>
      <w:r>
        <w:rPr>
          <w:rFonts w:hint="eastAsia" w:ascii="仿宋_GB2312" w:hAnsi="等线"/>
          <w:snapToGrid/>
          <w:kern w:val="2"/>
        </w:rPr>
        <w:t>省人民政府民政部门</w:t>
      </w:r>
      <w:r>
        <w:rPr>
          <w:rFonts w:ascii="仿宋_GB2312" w:hAnsi="等线"/>
          <w:snapToGrid/>
          <w:kern w:val="2"/>
        </w:rPr>
        <w:t>应当会同</w:t>
      </w:r>
      <w:r>
        <w:rPr>
          <w:rFonts w:hint="eastAsia" w:ascii="仿宋_GB2312" w:hAnsi="等线"/>
          <w:snapToGrid/>
          <w:kern w:val="2"/>
        </w:rPr>
        <w:t>市场监督管理部门制定</w:t>
      </w:r>
      <w:r>
        <w:rPr>
          <w:rFonts w:ascii="仿宋_GB2312" w:hAnsi="等线"/>
          <w:snapToGrid/>
          <w:kern w:val="2"/>
        </w:rPr>
        <w:t>养老服务标准编制</w:t>
      </w:r>
      <w:r>
        <w:rPr>
          <w:rFonts w:hint="eastAsia" w:ascii="仿宋_GB2312" w:hAnsi="等线"/>
          <w:snapToGrid/>
          <w:kern w:val="2"/>
        </w:rPr>
        <w:t>计划</w:t>
      </w:r>
      <w:r>
        <w:rPr>
          <w:rFonts w:ascii="仿宋_GB2312" w:hAnsi="等线"/>
          <w:snapToGrid/>
          <w:kern w:val="2"/>
        </w:rPr>
        <w:t>，</w:t>
      </w:r>
      <w:r>
        <w:rPr>
          <w:rFonts w:hint="eastAsia" w:ascii="仿宋_GB2312" w:hAnsi="等线"/>
          <w:snapToGrid/>
          <w:kern w:val="2"/>
        </w:rPr>
        <w:t>建立健全养老服务标准体系，对标准的实施情况进行监督检查。</w:t>
      </w:r>
    </w:p>
    <w:p>
      <w:pPr>
        <w:spacing w:line="560" w:lineRule="exact"/>
        <w:ind w:firstLine="640" w:firstLineChars="200"/>
        <w:rPr>
          <w:rFonts w:ascii="仿宋_GB2312"/>
        </w:rPr>
      </w:pPr>
      <w:r>
        <w:rPr>
          <w:rFonts w:hint="eastAsia" w:ascii="仿宋_GB2312" w:hAnsi="等线"/>
          <w:snapToGrid/>
          <w:kern w:val="2"/>
        </w:rPr>
        <w:t>鼓励养老服务组织制定并实施高于地方标准的企业标准。</w:t>
      </w:r>
    </w:p>
    <w:p>
      <w:pPr>
        <w:spacing w:line="560" w:lineRule="exact"/>
        <w:ind w:firstLine="640" w:firstLineChars="200"/>
        <w:rPr>
          <w:rFonts w:ascii="仿宋_GB2312"/>
        </w:rPr>
      </w:pPr>
      <w:bookmarkStart w:id="57" w:name="_Toc18071709"/>
      <w:r>
        <w:rPr>
          <w:rFonts w:hint="eastAsia" w:ascii="黑体" w:hAnsi="黑体" w:eastAsia="黑体"/>
          <w:bCs/>
          <w:snapToGrid/>
          <w:kern w:val="2"/>
        </w:rPr>
        <w:t xml:space="preserve">第六十条  </w:t>
      </w:r>
      <w:r>
        <w:rPr>
          <w:rFonts w:hint="eastAsia" w:ascii="仿宋_GB2312" w:hAnsi="等线"/>
          <w:snapToGrid/>
          <w:kern w:val="2"/>
        </w:rPr>
        <w:t>政府运营的公办养老机构实行政府定价或者政府指导价。公办养老机构委托第三方运营的，其收费标准根据委托协议等合理确定。</w:t>
      </w:r>
    </w:p>
    <w:p>
      <w:pPr>
        <w:spacing w:line="560" w:lineRule="exact"/>
        <w:ind w:firstLine="640" w:firstLineChars="200"/>
        <w:rPr>
          <w:rFonts w:ascii="仿宋_GB2312"/>
        </w:rPr>
      </w:pPr>
      <w:r>
        <w:rPr>
          <w:rFonts w:hint="eastAsia" w:ascii="仿宋_GB2312" w:hAnsi="等线"/>
          <w:snapToGrid/>
          <w:kern w:val="2"/>
        </w:rPr>
        <w:t>民办养老机构</w:t>
      </w:r>
      <w:r>
        <w:rPr>
          <w:rFonts w:ascii="仿宋_GB2312" w:hAnsi="等线"/>
          <w:snapToGrid/>
          <w:kern w:val="2"/>
        </w:rPr>
        <w:t>和</w:t>
      </w:r>
      <w:r>
        <w:rPr>
          <w:rFonts w:hint="eastAsia" w:ascii="仿宋_GB2312" w:hAnsi="等线"/>
          <w:snapToGrid/>
          <w:kern w:val="2"/>
        </w:rPr>
        <w:t>其他</w:t>
      </w:r>
      <w:r>
        <w:rPr>
          <w:rFonts w:ascii="仿宋_GB2312" w:hAnsi="等线"/>
          <w:snapToGrid/>
          <w:kern w:val="2"/>
        </w:rPr>
        <w:t>养老服务组织收费标准实行市场调节价，并接受政府有关部门和社会的监督。</w:t>
      </w:r>
    </w:p>
    <w:p>
      <w:pPr>
        <w:spacing w:line="560" w:lineRule="exact"/>
        <w:ind w:firstLine="640" w:firstLineChars="200"/>
        <w:rPr>
          <w:rFonts w:ascii="仿宋_GB2312"/>
        </w:rPr>
      </w:pPr>
      <w:r>
        <w:rPr>
          <w:rFonts w:hint="eastAsia" w:ascii="仿宋_GB2312" w:hAnsi="等线"/>
          <w:snapToGrid/>
          <w:kern w:val="2"/>
        </w:rPr>
        <w:t>养老服务</w:t>
      </w:r>
      <w:r>
        <w:rPr>
          <w:rFonts w:ascii="仿宋_GB2312" w:hAnsi="等线"/>
          <w:snapToGrid/>
          <w:kern w:val="2"/>
        </w:rPr>
        <w:t>组织应当在醒目位置公示服务项目、收费标准。</w:t>
      </w:r>
    </w:p>
    <w:bookmarkEnd w:id="57"/>
    <w:p>
      <w:pPr>
        <w:spacing w:line="560" w:lineRule="exact"/>
        <w:ind w:firstLine="640" w:firstLineChars="200"/>
        <w:rPr>
          <w:rFonts w:ascii="仿宋_GB2312"/>
        </w:rPr>
      </w:pPr>
      <w:r>
        <w:rPr>
          <w:rFonts w:hint="eastAsia" w:ascii="黑体" w:hAnsi="黑体" w:eastAsia="黑体"/>
          <w:bCs/>
          <w:snapToGrid/>
          <w:kern w:val="2"/>
        </w:rPr>
        <w:t xml:space="preserve">第六十一条  </w:t>
      </w:r>
      <w:r>
        <w:rPr>
          <w:rFonts w:hint="eastAsia" w:ascii="仿宋_GB2312" w:hAnsi="等线"/>
          <w:snapToGrid/>
          <w:kern w:val="2"/>
        </w:rPr>
        <w:t>省人民政府人力资源社会保障、民政部门应当将养老护理员纳入专项职业能力目录，组织实施养老护理员职业技能等级评价，提高养老护理员服务水平。</w:t>
      </w:r>
    </w:p>
    <w:p>
      <w:pPr>
        <w:spacing w:line="560" w:lineRule="exact"/>
        <w:ind w:firstLine="640" w:firstLineChars="200"/>
        <w:rPr>
          <w:rFonts w:ascii="仿宋_GB2312"/>
        </w:rPr>
      </w:pPr>
      <w:r>
        <w:rPr>
          <w:rFonts w:hint="eastAsia" w:ascii="黑体" w:hAnsi="黑体" w:eastAsia="黑体"/>
          <w:bCs/>
          <w:snapToGrid/>
          <w:kern w:val="2"/>
        </w:rPr>
        <w:t xml:space="preserve">第六十二条  </w:t>
      </w:r>
      <w:r>
        <w:rPr>
          <w:rFonts w:hint="eastAsia" w:ascii="仿宋_GB2312" w:hAnsi="等线"/>
          <w:snapToGrid/>
          <w:kern w:val="2"/>
        </w:rPr>
        <w:t>养老服务组织应当与养老服务从业人员依法订立聘用合同或者劳动合同，为养老服务从业人员缴纳社会保险费，并安排其定期进行健康检查。</w:t>
      </w:r>
    </w:p>
    <w:p>
      <w:pPr>
        <w:spacing w:line="560" w:lineRule="exact"/>
        <w:ind w:firstLine="640" w:firstLineChars="200"/>
        <w:rPr>
          <w:rFonts w:ascii="仿宋_GB2312"/>
        </w:rPr>
      </w:pPr>
      <w:r>
        <w:rPr>
          <w:rFonts w:hint="eastAsia" w:ascii="黑体" w:hAnsi="黑体" w:eastAsia="黑体"/>
          <w:bCs/>
          <w:snapToGrid/>
          <w:kern w:val="2"/>
        </w:rPr>
        <w:t xml:space="preserve">第六十三条  </w:t>
      </w:r>
      <w:r>
        <w:rPr>
          <w:rFonts w:hint="eastAsia" w:ascii="仿宋_GB2312" w:hAnsi="等线"/>
          <w:snapToGrid/>
          <w:kern w:val="2"/>
        </w:rPr>
        <w:t>各级人民政府和有关部门应当对养老服务领域非法集资、诈骗等违法行为的有关情况进行监测和分析，加强风险提示。</w:t>
      </w:r>
    </w:p>
    <w:p>
      <w:pPr>
        <w:spacing w:line="560" w:lineRule="exact"/>
        <w:ind w:firstLine="640" w:firstLineChars="200"/>
        <w:rPr>
          <w:rFonts w:ascii="仿宋_GB2312"/>
        </w:rPr>
      </w:pPr>
      <w:r>
        <w:rPr>
          <w:rFonts w:hint="eastAsia" w:ascii="仿宋_GB2312" w:hAnsi="等线"/>
          <w:snapToGrid/>
          <w:kern w:val="2"/>
        </w:rPr>
        <w:t>单位和个人涉嫌以养老服务名义实施非法集资、诈骗、传销等违法行为的，公安机关应当依法查处，其他有关部门应当协助配合并按照规定移送有关证据材料。</w:t>
      </w:r>
    </w:p>
    <w:p>
      <w:pPr>
        <w:spacing w:line="560" w:lineRule="exact"/>
        <w:ind w:firstLine="640" w:firstLineChars="200"/>
        <w:rPr>
          <w:rFonts w:ascii="仿宋_GB2312"/>
        </w:rPr>
      </w:pPr>
      <w:r>
        <w:rPr>
          <w:rFonts w:hint="eastAsia" w:ascii="黑体" w:hAnsi="黑体" w:eastAsia="黑体"/>
          <w:bCs/>
          <w:snapToGrid/>
          <w:kern w:val="2"/>
        </w:rPr>
        <w:t xml:space="preserve">第六十四条  </w:t>
      </w:r>
      <w:r>
        <w:rPr>
          <w:rFonts w:hint="eastAsia" w:ascii="仿宋_GB2312" w:hAnsi="等线"/>
          <w:snapToGrid/>
          <w:kern w:val="2"/>
        </w:rPr>
        <w:t>养老服务行业组织应当加强行业自律和诚信建设，制定行业服务规范，推动养老服务标准实施，规范服务行为，提升服务质量。</w:t>
      </w:r>
    </w:p>
    <w:p>
      <w:pPr>
        <w:spacing w:line="560" w:lineRule="exact"/>
        <w:ind w:firstLine="640" w:firstLineChars="200"/>
        <w:rPr>
          <w:rFonts w:ascii="仿宋_GB2312"/>
        </w:rPr>
      </w:pPr>
      <w:r>
        <w:rPr>
          <w:rFonts w:hint="eastAsia" w:ascii="黑体" w:hAnsi="黑体" w:eastAsia="黑体"/>
          <w:bCs/>
          <w:snapToGrid/>
          <w:kern w:val="2"/>
        </w:rPr>
        <w:t xml:space="preserve">第六十五条  </w:t>
      </w:r>
      <w:r>
        <w:rPr>
          <w:rFonts w:hint="eastAsia" w:ascii="仿宋_GB2312" w:hAnsi="等线"/>
          <w:snapToGrid/>
          <w:kern w:val="2"/>
        </w:rPr>
        <w:t>县级以上人民政府民政、卫生健康、市场监督管理等有关部门应当按照各自职责，开展养老服务质量投诉处理工作，公布投诉电话、信箱、电子邮箱等，依法受理有关举报和投诉。</w:t>
      </w:r>
    </w:p>
    <w:p>
      <w:pPr>
        <w:spacing w:line="560" w:lineRule="exact"/>
        <w:ind w:firstLine="640" w:firstLineChars="200"/>
        <w:rPr>
          <w:rFonts w:ascii="仿宋_GB2312"/>
        </w:rPr>
      </w:pPr>
      <w:r>
        <w:rPr>
          <w:rFonts w:hint="eastAsia" w:ascii="仿宋_GB2312" w:hAnsi="等线"/>
          <w:snapToGrid/>
          <w:kern w:val="2"/>
        </w:rPr>
        <w:t>接到举报、投诉后，民政、卫生健康、市场监督管理等部门应当按照规定及时予以核实处理，并将处理情况告知举报人、投诉人。</w:t>
      </w:r>
      <w:bookmarkStart w:id="58" w:name="_Toc18071713"/>
      <w:bookmarkStart w:id="59" w:name="_Toc21971249"/>
    </w:p>
    <w:p>
      <w:pPr>
        <w:spacing w:line="560" w:lineRule="exact"/>
        <w:jc w:val="center"/>
        <w:rPr>
          <w:rFonts w:ascii="仿宋_GB2312"/>
        </w:rPr>
      </w:pPr>
    </w:p>
    <w:p>
      <w:pPr>
        <w:spacing w:line="560" w:lineRule="exact"/>
        <w:jc w:val="center"/>
        <w:rPr>
          <w:rFonts w:ascii="仿宋_GB2312"/>
        </w:rPr>
      </w:pPr>
      <w:r>
        <w:rPr>
          <w:rFonts w:hint="eastAsia" w:ascii="黑体" w:hAnsi="黑体" w:eastAsia="黑体"/>
          <w:snapToGrid/>
          <w:kern w:val="2"/>
        </w:rPr>
        <w:t>第八章  法律责任</w:t>
      </w:r>
      <w:bookmarkEnd w:id="58"/>
      <w:bookmarkEnd w:id="59"/>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hAnsi="黑体" w:eastAsia="黑体"/>
          <w:bCs/>
          <w:snapToGrid/>
          <w:kern w:val="2"/>
        </w:rPr>
        <w:t xml:space="preserve">第六十六条  </w:t>
      </w:r>
      <w:r>
        <w:rPr>
          <w:rFonts w:hint="eastAsia" w:ascii="仿宋_GB2312" w:hAnsi="等线"/>
          <w:snapToGrid/>
          <w:kern w:val="2"/>
        </w:rPr>
        <w:t>违反本条例规定的行为，法律、行政法规已经规定法律责任的，适用其规定。</w:t>
      </w:r>
    </w:p>
    <w:p>
      <w:pPr>
        <w:spacing w:line="560" w:lineRule="exact"/>
        <w:ind w:firstLine="640" w:firstLineChars="200"/>
        <w:rPr>
          <w:rFonts w:ascii="仿宋_GB2312"/>
        </w:rPr>
      </w:pPr>
      <w:r>
        <w:rPr>
          <w:rFonts w:hint="eastAsia" w:ascii="黑体" w:hAnsi="黑体" w:eastAsia="黑体"/>
          <w:bCs/>
          <w:snapToGrid/>
          <w:kern w:val="2"/>
        </w:rPr>
        <w:t xml:space="preserve">第六十七条  </w:t>
      </w:r>
      <w:r>
        <w:rPr>
          <w:rFonts w:ascii="仿宋_GB2312" w:hAnsi="等线"/>
          <w:snapToGrid/>
          <w:kern w:val="2"/>
        </w:rPr>
        <w:t>违反本条例规定，建设单位</w:t>
      </w:r>
      <w:r>
        <w:rPr>
          <w:rFonts w:hint="eastAsia" w:ascii="仿宋_GB2312" w:hAnsi="等线"/>
          <w:snapToGrid/>
          <w:kern w:val="2"/>
        </w:rPr>
        <w:t>未按照规定建设配套社区养老服务设施将城镇居住区建设项目交付使用的，或者</w:t>
      </w:r>
      <w:r>
        <w:rPr>
          <w:rFonts w:ascii="仿宋_GB2312" w:hAnsi="等线"/>
          <w:snapToGrid/>
          <w:kern w:val="2"/>
        </w:rPr>
        <w:t>未按照规定将</w:t>
      </w:r>
      <w:r>
        <w:rPr>
          <w:rFonts w:hint="eastAsia" w:ascii="仿宋_GB2312" w:hAnsi="等线"/>
          <w:snapToGrid/>
          <w:kern w:val="2"/>
        </w:rPr>
        <w:t>配套社区养老服务设施以</w:t>
      </w:r>
      <w:r>
        <w:rPr>
          <w:rFonts w:ascii="仿宋_GB2312" w:hAnsi="等线"/>
          <w:snapToGrid/>
          <w:kern w:val="2"/>
        </w:rPr>
        <w:t>及</w:t>
      </w:r>
      <w:r>
        <w:rPr>
          <w:rFonts w:hint="eastAsia" w:ascii="仿宋_GB2312" w:hAnsi="等线"/>
          <w:snapToGrid/>
          <w:kern w:val="2"/>
        </w:rPr>
        <w:t>有关建设资料全部无偿移交所在地县（市、区）人民政府民政部门的，</w:t>
      </w:r>
      <w:r>
        <w:rPr>
          <w:rFonts w:ascii="仿宋_GB2312" w:hAnsi="等线"/>
          <w:snapToGrid/>
          <w:kern w:val="2"/>
        </w:rPr>
        <w:t>由县级以上人民政府住房城乡建设部门责令限期改正；逾期不改正的，处配套</w:t>
      </w:r>
      <w:r>
        <w:rPr>
          <w:rFonts w:hint="eastAsia" w:ascii="仿宋_GB2312" w:hAnsi="等线"/>
          <w:snapToGrid/>
          <w:kern w:val="2"/>
        </w:rPr>
        <w:t>社</w:t>
      </w:r>
      <w:r>
        <w:rPr>
          <w:rFonts w:ascii="仿宋_GB2312" w:hAnsi="等线"/>
          <w:snapToGrid/>
          <w:kern w:val="2"/>
        </w:rPr>
        <w:t>区养老服务设施建设工程造价二倍以上五倍以下</w:t>
      </w:r>
      <w:r>
        <w:rPr>
          <w:rFonts w:hint="eastAsia" w:ascii="仿宋_GB2312" w:hAnsi="等线"/>
          <w:snapToGrid/>
          <w:kern w:val="2"/>
        </w:rPr>
        <w:t>的</w:t>
      </w:r>
      <w:r>
        <w:rPr>
          <w:rFonts w:ascii="仿宋_GB2312" w:hAnsi="等线"/>
          <w:snapToGrid/>
          <w:kern w:val="2"/>
        </w:rPr>
        <w:t>罚款。</w:t>
      </w:r>
    </w:p>
    <w:p>
      <w:pPr>
        <w:spacing w:line="560" w:lineRule="exact"/>
        <w:ind w:firstLine="640" w:firstLineChars="200"/>
        <w:rPr>
          <w:rFonts w:ascii="仿宋_GB2312"/>
        </w:rPr>
      </w:pPr>
      <w:r>
        <w:rPr>
          <w:rFonts w:hint="eastAsia" w:ascii="黑体" w:hAnsi="黑体" w:eastAsia="黑体"/>
          <w:bCs/>
          <w:snapToGrid/>
          <w:kern w:val="2"/>
        </w:rPr>
        <w:t xml:space="preserve">第六十八条  </w:t>
      </w:r>
      <w:r>
        <w:rPr>
          <w:rFonts w:hint="eastAsia" w:ascii="仿宋_GB2312" w:hAnsi="等线"/>
          <w:snapToGrid/>
          <w:kern w:val="2"/>
        </w:rPr>
        <w:t>违反本条例规定，擅自改变依法规划建设或者配置的养老服务设施使用性质的，由县级以上人民政府民政部门责令限期改正，有违法所得的，没收违法所得；逾期不改正的，处五万元以上十万元以下的罚款；情节严重的，处十万元以上三十万元以下的罚款。</w:t>
      </w:r>
    </w:p>
    <w:p>
      <w:pPr>
        <w:spacing w:line="560" w:lineRule="exact"/>
        <w:ind w:firstLine="640" w:firstLineChars="200"/>
        <w:rPr>
          <w:rFonts w:ascii="仿宋_GB2312"/>
        </w:rPr>
      </w:pPr>
      <w:r>
        <w:rPr>
          <w:rFonts w:hint="eastAsia" w:ascii="黑体" w:hAnsi="黑体" w:eastAsia="黑体"/>
          <w:bCs/>
          <w:snapToGrid/>
          <w:kern w:val="2"/>
        </w:rPr>
        <w:t xml:space="preserve">第六十九条  </w:t>
      </w:r>
      <w:r>
        <w:rPr>
          <w:rFonts w:hint="eastAsia" w:ascii="仿宋_GB2312" w:hAnsi="等线"/>
          <w:snapToGrid/>
          <w:kern w:val="2"/>
        </w:rPr>
        <w:t>违反本条例规定，从事居家社区养老服务的组织未按照规定的标准提供服务的，由县级以上人民政府民政部门责令限期改正；逾期不改正的，处一千元以上三千元以下的罚款；情节严重的，处三千元以上一万元以下的罚款。</w:t>
      </w:r>
    </w:p>
    <w:p>
      <w:pPr>
        <w:spacing w:line="560" w:lineRule="exact"/>
        <w:ind w:firstLine="640" w:firstLineChars="200"/>
        <w:rPr>
          <w:rFonts w:ascii="仿宋_GB2312"/>
        </w:rPr>
      </w:pPr>
      <w:r>
        <w:rPr>
          <w:rFonts w:hint="eastAsia" w:ascii="黑体" w:hAnsi="黑体" w:eastAsia="黑体"/>
          <w:bCs/>
          <w:snapToGrid/>
          <w:kern w:val="2"/>
        </w:rPr>
        <w:t xml:space="preserve">第七十条  </w:t>
      </w:r>
      <w:r>
        <w:rPr>
          <w:rFonts w:hint="eastAsia" w:ascii="仿宋_GB2312" w:hAnsi="等线"/>
          <w:snapToGrid/>
          <w:kern w:val="2"/>
        </w:rPr>
        <w:t>违反本条例规定，养老机构有下列行为之一的，由县级以上人民政府民政部门责令限期改正；情节严重的，处一万元以上三万元以下的罚款；</w:t>
      </w:r>
      <w:r>
        <w:rPr>
          <w:rFonts w:ascii="仿宋_GB2312" w:hAnsi="等线"/>
          <w:snapToGrid/>
          <w:kern w:val="2"/>
        </w:rPr>
        <w:t>可能危及人身健康和生命财产安全的，</w:t>
      </w:r>
      <w:r>
        <w:rPr>
          <w:rFonts w:hint="eastAsia" w:ascii="仿宋_GB2312" w:hAnsi="等线"/>
          <w:snapToGrid/>
          <w:kern w:val="2"/>
        </w:rPr>
        <w:t>责令</w:t>
      </w:r>
      <w:r>
        <w:rPr>
          <w:rFonts w:ascii="仿宋_GB2312" w:hAnsi="等线"/>
          <w:snapToGrid/>
          <w:kern w:val="2"/>
        </w:rPr>
        <w:t>停业整顿，</w:t>
      </w:r>
      <w:r>
        <w:rPr>
          <w:rFonts w:hint="eastAsia" w:ascii="仿宋_GB2312" w:hAnsi="等线"/>
          <w:snapToGrid/>
          <w:kern w:val="2"/>
        </w:rPr>
        <w:t>并处三万元以上十万元以下的罚款：</w:t>
      </w:r>
    </w:p>
    <w:p>
      <w:pPr>
        <w:spacing w:line="560" w:lineRule="exact"/>
        <w:ind w:firstLine="640" w:firstLineChars="200"/>
        <w:rPr>
          <w:rFonts w:ascii="仿宋_GB2312"/>
        </w:rPr>
      </w:pPr>
      <w:r>
        <w:rPr>
          <w:rFonts w:hint="eastAsia" w:ascii="仿宋_GB2312" w:hAnsi="等线"/>
          <w:snapToGrid/>
          <w:kern w:val="2"/>
        </w:rPr>
        <w:t>（一）未与老年人或者其代理人订立养老服务合同的；　</w:t>
      </w:r>
    </w:p>
    <w:p>
      <w:pPr>
        <w:spacing w:line="560" w:lineRule="exact"/>
        <w:ind w:firstLine="640" w:firstLineChars="200"/>
        <w:rPr>
          <w:rFonts w:ascii="仿宋_GB2312"/>
        </w:rPr>
      </w:pPr>
      <w:r>
        <w:rPr>
          <w:rFonts w:hint="eastAsia" w:ascii="仿宋_GB2312" w:hAnsi="等线"/>
          <w:snapToGrid/>
          <w:kern w:val="2"/>
        </w:rPr>
        <w:t>（二）未按照国家和省规定的技术标准和规范开展服务的；</w:t>
      </w:r>
    </w:p>
    <w:p>
      <w:pPr>
        <w:spacing w:line="560" w:lineRule="exact"/>
        <w:ind w:firstLine="640" w:firstLineChars="200"/>
        <w:rPr>
          <w:rFonts w:ascii="仿宋_GB2312"/>
        </w:rPr>
      </w:pPr>
      <w:r>
        <w:rPr>
          <w:rFonts w:hint="eastAsia" w:ascii="仿宋_GB2312" w:hAnsi="等线"/>
          <w:snapToGrid/>
          <w:kern w:val="2"/>
        </w:rPr>
        <w:t>（三）暂停、终止养老服务时未妥善安置入住老年人的；</w:t>
      </w:r>
    </w:p>
    <w:p>
      <w:pPr>
        <w:spacing w:line="560" w:lineRule="exact"/>
        <w:ind w:firstLine="640" w:firstLineChars="200"/>
        <w:rPr>
          <w:rFonts w:ascii="仿宋_GB2312"/>
        </w:rPr>
      </w:pPr>
      <w:r>
        <w:rPr>
          <w:rFonts w:hint="eastAsia" w:ascii="仿宋_GB2312" w:hAnsi="等线"/>
          <w:snapToGrid/>
          <w:kern w:val="2"/>
        </w:rPr>
        <w:t>（四）有歧视、侮辱、虐待、遗弃老年人或者其他侵犯老年人合法权益行为的；</w:t>
      </w:r>
    </w:p>
    <w:p>
      <w:pPr>
        <w:spacing w:line="560" w:lineRule="exact"/>
        <w:ind w:firstLine="640" w:firstLineChars="200"/>
        <w:rPr>
          <w:rFonts w:ascii="仿宋_GB2312"/>
        </w:rPr>
      </w:pPr>
      <w:r>
        <w:rPr>
          <w:rFonts w:hint="eastAsia" w:ascii="仿宋_GB2312" w:hAnsi="等线"/>
          <w:snapToGrid/>
          <w:kern w:val="2"/>
        </w:rPr>
        <w:t>（五）法律、法规规定的其他违法行为。</w:t>
      </w:r>
    </w:p>
    <w:p>
      <w:pPr>
        <w:spacing w:line="560" w:lineRule="exact"/>
        <w:ind w:firstLine="640" w:firstLineChars="200"/>
        <w:rPr>
          <w:rFonts w:ascii="仿宋_GB2312"/>
        </w:rPr>
      </w:pPr>
      <w:r>
        <w:rPr>
          <w:rFonts w:hint="eastAsia" w:ascii="仿宋_GB2312" w:hAnsi="等线"/>
          <w:snapToGrid/>
          <w:kern w:val="2"/>
        </w:rPr>
        <w:t>对有前款所列行为之一的养老机构，有关部门可以中止或者取消扶持、优惠待遇。</w:t>
      </w:r>
    </w:p>
    <w:p>
      <w:pPr>
        <w:spacing w:line="560" w:lineRule="exact"/>
        <w:ind w:firstLine="640" w:firstLineChars="200"/>
        <w:rPr>
          <w:rFonts w:ascii="仿宋_GB2312"/>
        </w:rPr>
      </w:pPr>
      <w:r>
        <w:rPr>
          <w:rFonts w:hint="eastAsia" w:ascii="黑体" w:hAnsi="黑体" w:eastAsia="黑体"/>
          <w:bCs/>
          <w:snapToGrid/>
          <w:kern w:val="2"/>
        </w:rPr>
        <w:t xml:space="preserve">第七十一条  </w:t>
      </w:r>
      <w:r>
        <w:rPr>
          <w:rFonts w:hint="eastAsia" w:ascii="仿宋_GB2312" w:hAnsi="等线"/>
          <w:snapToGrid/>
          <w:kern w:val="2"/>
        </w:rPr>
        <w:t>违反本条例规定，单位或者个人采用虚报、隐瞒、伪造等手段，骗取政府养老服务补助、补贴、奖励的，由县级以上人民政府民政部门责令退回，给予警告，处骗取资金数额百分之十以上百分之五十以下的罚款。</w:t>
      </w:r>
      <w:bookmarkStart w:id="60" w:name="_Toc18071715"/>
      <w:bookmarkStart w:id="61" w:name="_Toc21971258"/>
    </w:p>
    <w:bookmarkEnd w:id="60"/>
    <w:bookmarkEnd w:id="61"/>
    <w:p>
      <w:pPr>
        <w:spacing w:line="560" w:lineRule="exact"/>
        <w:ind w:firstLine="640" w:firstLineChars="200"/>
        <w:rPr>
          <w:rFonts w:ascii="仿宋_GB2312"/>
        </w:rPr>
      </w:pPr>
      <w:r>
        <w:rPr>
          <w:rFonts w:hint="eastAsia" w:ascii="黑体" w:hAnsi="黑体" w:eastAsia="黑体"/>
          <w:bCs/>
          <w:snapToGrid/>
          <w:kern w:val="2"/>
        </w:rPr>
        <w:t xml:space="preserve">第七十二条  </w:t>
      </w:r>
      <w:r>
        <w:rPr>
          <w:rFonts w:hint="eastAsia" w:ascii="仿宋_GB2312" w:hAnsi="等线"/>
          <w:snapToGrid/>
          <w:kern w:val="2"/>
        </w:rPr>
        <w:t>各级人民政府及其有关部门违反本条例规定，有下列情形之一的，对直接负责的主管人员和其他直接责任人员依法给予处分：</w:t>
      </w:r>
    </w:p>
    <w:p>
      <w:pPr>
        <w:spacing w:line="560" w:lineRule="exact"/>
        <w:ind w:firstLine="640" w:firstLineChars="200"/>
        <w:rPr>
          <w:rFonts w:ascii="仿宋_GB2312"/>
        </w:rPr>
      </w:pPr>
      <w:r>
        <w:rPr>
          <w:rFonts w:hint="eastAsia" w:ascii="仿宋_GB2312" w:hAnsi="等线"/>
          <w:snapToGrid/>
          <w:kern w:val="2"/>
        </w:rPr>
        <w:t>（一）未按照规定标准规划配置社区养老服务设施的；</w:t>
      </w:r>
    </w:p>
    <w:p>
      <w:pPr>
        <w:spacing w:line="560" w:lineRule="exact"/>
        <w:ind w:firstLine="640" w:firstLineChars="200"/>
        <w:rPr>
          <w:rFonts w:ascii="仿宋_GB2312"/>
        </w:rPr>
      </w:pPr>
      <w:r>
        <w:rPr>
          <w:rFonts w:hint="eastAsia" w:ascii="仿宋_GB2312" w:hAnsi="等线"/>
          <w:snapToGrid/>
          <w:kern w:val="2"/>
        </w:rPr>
        <w:t>（二）未按照规定安排养老服务设施年度用地计划的；</w:t>
      </w:r>
    </w:p>
    <w:p>
      <w:pPr>
        <w:spacing w:line="560" w:lineRule="exact"/>
        <w:ind w:firstLine="640" w:firstLineChars="200"/>
        <w:rPr>
          <w:rFonts w:ascii="仿宋_GB2312"/>
        </w:rPr>
      </w:pPr>
      <w:r>
        <w:rPr>
          <w:rFonts w:hint="eastAsia" w:ascii="仿宋_GB2312" w:hAnsi="等线"/>
          <w:snapToGrid/>
          <w:kern w:val="2"/>
        </w:rPr>
        <w:t>（三）未按照规定落实特殊</w:t>
      </w:r>
      <w:r>
        <w:rPr>
          <w:rFonts w:ascii="仿宋_GB2312" w:hAnsi="等线"/>
          <w:snapToGrid/>
          <w:kern w:val="2"/>
        </w:rPr>
        <w:t>困难老年人服务保障</w:t>
      </w:r>
      <w:r>
        <w:rPr>
          <w:rFonts w:hint="eastAsia" w:ascii="仿宋_GB2312" w:hAnsi="等线"/>
          <w:snapToGrid/>
          <w:kern w:val="2"/>
        </w:rPr>
        <w:t>措施</w:t>
      </w:r>
      <w:r>
        <w:rPr>
          <w:rFonts w:ascii="仿宋_GB2312" w:hAnsi="等线"/>
          <w:snapToGrid/>
          <w:kern w:val="2"/>
        </w:rPr>
        <w:t>的</w:t>
      </w:r>
      <w:r>
        <w:rPr>
          <w:rFonts w:hint="eastAsia" w:ascii="仿宋_GB2312" w:hAnsi="等线"/>
          <w:snapToGrid/>
          <w:kern w:val="2"/>
        </w:rPr>
        <w:t>；</w:t>
      </w:r>
    </w:p>
    <w:p>
      <w:pPr>
        <w:spacing w:line="560" w:lineRule="exact"/>
        <w:ind w:firstLine="640" w:firstLineChars="200"/>
        <w:rPr>
          <w:rFonts w:ascii="仿宋_GB2312"/>
        </w:rPr>
      </w:pPr>
      <w:r>
        <w:rPr>
          <w:rFonts w:hint="eastAsia" w:ascii="仿宋_GB2312" w:hAnsi="等线"/>
          <w:snapToGrid/>
          <w:kern w:val="2"/>
        </w:rPr>
        <w:t>（四）未按照规定对养老服务组织履行监督管理职责的；</w:t>
      </w:r>
    </w:p>
    <w:p>
      <w:pPr>
        <w:spacing w:line="560" w:lineRule="exact"/>
        <w:ind w:firstLine="640" w:firstLineChars="200"/>
        <w:rPr>
          <w:rFonts w:ascii="仿宋_GB2312"/>
        </w:rPr>
      </w:pPr>
      <w:r>
        <w:rPr>
          <w:rFonts w:hint="eastAsia" w:ascii="仿宋_GB2312" w:hAnsi="等线"/>
          <w:snapToGrid/>
          <w:kern w:val="2"/>
        </w:rPr>
        <w:t>（五）未按照规定落实养老服务优惠扶持政策的；</w:t>
      </w:r>
    </w:p>
    <w:p>
      <w:pPr>
        <w:spacing w:line="560" w:lineRule="exact"/>
        <w:ind w:firstLine="640" w:firstLineChars="200"/>
        <w:rPr>
          <w:rFonts w:ascii="仿宋_GB2312"/>
        </w:rPr>
      </w:pPr>
      <w:r>
        <w:rPr>
          <w:rFonts w:hint="eastAsia" w:ascii="仿宋_GB2312" w:hAnsi="等线"/>
          <w:snapToGrid/>
          <w:kern w:val="2"/>
        </w:rPr>
        <w:t>（</w:t>
      </w:r>
      <w:r>
        <w:rPr>
          <w:rFonts w:ascii="仿宋_GB2312" w:hAnsi="等线"/>
          <w:snapToGrid/>
          <w:kern w:val="2"/>
        </w:rPr>
        <w:t>六）</w:t>
      </w:r>
      <w:r>
        <w:rPr>
          <w:rFonts w:hint="eastAsia" w:ascii="仿宋_GB2312" w:hAnsi="等线"/>
          <w:snapToGrid/>
          <w:kern w:val="2"/>
        </w:rPr>
        <w:t>其他滥用职权、玩忽职守、徇私舞弊的行为。</w:t>
      </w:r>
    </w:p>
    <w:p>
      <w:pPr>
        <w:spacing w:line="560" w:lineRule="exact"/>
        <w:ind w:firstLine="640" w:firstLineChars="200"/>
        <w:rPr>
          <w:rFonts w:ascii="仿宋_GB2312"/>
        </w:rPr>
      </w:pPr>
      <w:bookmarkStart w:id="62" w:name="_Toc18071722"/>
      <w:r>
        <w:rPr>
          <w:rFonts w:hint="eastAsia" w:ascii="黑体" w:hAnsi="黑体" w:eastAsia="黑体"/>
          <w:bCs/>
          <w:snapToGrid/>
          <w:kern w:val="2"/>
        </w:rPr>
        <w:t xml:space="preserve">第七十三条  </w:t>
      </w:r>
      <w:r>
        <w:rPr>
          <w:rFonts w:hint="eastAsia" w:ascii="仿宋_GB2312" w:hAnsi="等线"/>
          <w:snapToGrid/>
          <w:kern w:val="2"/>
        </w:rPr>
        <w:t>违反本条例规定，侵害老</w:t>
      </w:r>
      <w:bookmarkStart w:id="63" w:name="_Toc21971260"/>
      <w:r>
        <w:rPr>
          <w:rFonts w:hint="eastAsia" w:ascii="仿宋_GB2312" w:hAnsi="等线"/>
          <w:snapToGrid/>
          <w:kern w:val="2"/>
        </w:rPr>
        <w:t>年人合法权益的，依法承担民事责任；构成犯罪的，依法追究刑事责任。</w:t>
      </w:r>
    </w:p>
    <w:p>
      <w:pPr>
        <w:spacing w:line="560" w:lineRule="exact"/>
        <w:jc w:val="center"/>
        <w:rPr>
          <w:rFonts w:ascii="黑体" w:hAnsi="黑体" w:eastAsia="黑体"/>
        </w:rPr>
      </w:pPr>
    </w:p>
    <w:p>
      <w:pPr>
        <w:spacing w:line="560" w:lineRule="exact"/>
        <w:jc w:val="center"/>
        <w:rPr>
          <w:rFonts w:ascii="仿宋_GB2312"/>
        </w:rPr>
      </w:pPr>
      <w:r>
        <w:rPr>
          <w:rFonts w:hint="eastAsia" w:ascii="黑体" w:hAnsi="黑体" w:eastAsia="黑体"/>
          <w:snapToGrid/>
          <w:kern w:val="2"/>
        </w:rPr>
        <w:t>第九章  附则</w:t>
      </w:r>
      <w:bookmarkEnd w:id="62"/>
      <w:bookmarkEnd w:id="63"/>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hAnsi="黑体" w:eastAsia="黑体"/>
          <w:bCs/>
          <w:snapToGrid/>
          <w:kern w:val="2"/>
        </w:rPr>
        <w:t xml:space="preserve">第七十四条  </w:t>
      </w:r>
      <w:r>
        <w:rPr>
          <w:rFonts w:hint="eastAsia" w:ascii="仿宋_GB2312" w:hAnsi="等线"/>
          <w:snapToGrid/>
          <w:kern w:val="2"/>
        </w:rPr>
        <w:t>本条例下列用语的含义:</w:t>
      </w:r>
    </w:p>
    <w:p>
      <w:pPr>
        <w:spacing w:line="560" w:lineRule="exact"/>
        <w:ind w:firstLine="640" w:firstLineChars="200"/>
        <w:rPr>
          <w:rFonts w:ascii="仿宋_GB2312"/>
        </w:rPr>
      </w:pPr>
      <w:r>
        <w:rPr>
          <w:rFonts w:hint="eastAsia" w:ascii="仿宋_GB2312" w:hAnsi="等线"/>
          <w:snapToGrid/>
          <w:kern w:val="2"/>
        </w:rPr>
        <w:t>（一）养老服务组织，是指养老机构、从事居家社区养老服务的组织以及其他为老年人提供养老服务的组织。</w:t>
      </w:r>
    </w:p>
    <w:p>
      <w:pPr>
        <w:spacing w:line="560" w:lineRule="exact"/>
        <w:ind w:firstLine="640" w:firstLineChars="200"/>
        <w:rPr>
          <w:rFonts w:ascii="仿宋_GB2312"/>
        </w:rPr>
      </w:pPr>
      <w:r>
        <w:rPr>
          <w:rFonts w:hint="eastAsia" w:ascii="仿宋_GB2312" w:hAnsi="等线"/>
          <w:snapToGrid/>
          <w:kern w:val="2"/>
        </w:rPr>
        <w:t>（二）养老机构，是指依法登记、备案的为老年人提供集中居住和照料服务的机构。</w:t>
      </w:r>
    </w:p>
    <w:p>
      <w:pPr>
        <w:spacing w:line="560" w:lineRule="exact"/>
        <w:ind w:firstLine="640" w:firstLineChars="200"/>
        <w:rPr>
          <w:rFonts w:ascii="仿宋_GB2312"/>
        </w:rPr>
      </w:pPr>
      <w:r>
        <w:rPr>
          <w:rFonts w:hint="eastAsia" w:ascii="仿宋_GB2312" w:hAnsi="等线"/>
          <w:snapToGrid/>
          <w:kern w:val="2"/>
        </w:rPr>
        <w:t>（三）养老服务设施，是指专门为老年人提供生活照料、康复护理、文体娱乐、托养服务的房屋、场地等。</w:t>
      </w:r>
    </w:p>
    <w:p>
      <w:pPr>
        <w:spacing w:line="560" w:lineRule="exact"/>
        <w:ind w:firstLine="640" w:firstLineChars="200"/>
        <w:rPr>
          <w:rFonts w:ascii="仿宋_GB2312"/>
        </w:rPr>
      </w:pPr>
      <w:r>
        <w:rPr>
          <w:rFonts w:hint="eastAsia" w:ascii="仿宋_GB2312" w:hAnsi="等线"/>
          <w:snapToGrid/>
          <w:kern w:val="2"/>
        </w:rPr>
        <w:t>（四）失能老年人，是指按照国家规定评估确认的生活不能自理或者不能完全自理的老年人，包含失智老年人。</w:t>
      </w:r>
    </w:p>
    <w:p>
      <w:pPr>
        <w:spacing w:line="560" w:lineRule="exact"/>
        <w:ind w:firstLine="640" w:firstLineChars="200"/>
        <w:rPr>
          <w:rFonts w:ascii="仿宋_GB2312"/>
        </w:rPr>
      </w:pPr>
      <w:r>
        <w:rPr>
          <w:rFonts w:hint="eastAsia" w:ascii="仿宋_GB2312" w:hAnsi="等线"/>
          <w:snapToGrid/>
          <w:kern w:val="2"/>
        </w:rPr>
        <w:t>（五）计划生育特殊家庭，是指独生子女三级以上残疾或者死亡、未再生育或者收养子女的家庭。</w:t>
      </w:r>
    </w:p>
    <w:p>
      <w:pPr>
        <w:spacing w:line="560" w:lineRule="exact"/>
        <w:ind w:firstLine="640" w:firstLineChars="200"/>
        <w:rPr>
          <w:rFonts w:ascii="仿宋_GB2312"/>
        </w:rPr>
      </w:pPr>
      <w:r>
        <w:rPr>
          <w:rFonts w:hint="eastAsia" w:ascii="仿宋_GB2312" w:hAnsi="等线"/>
          <w:snapToGrid/>
          <w:kern w:val="2"/>
        </w:rPr>
        <w:t>（六）特困人员，是指无劳动能力、无生活来源且无法定赡养、扶养义务人，或者其法定赡养、扶养义务人无赡养、扶养能力的老年人。</w:t>
      </w:r>
    </w:p>
    <w:p>
      <w:pPr>
        <w:spacing w:line="560" w:lineRule="exact"/>
        <w:ind w:firstLine="640" w:firstLineChars="200"/>
        <w:rPr>
          <w:rFonts w:ascii="仿宋_GB2312"/>
        </w:rPr>
      </w:pPr>
      <w:r>
        <w:rPr>
          <w:rFonts w:hint="eastAsia" w:ascii="黑体" w:hAnsi="黑体" w:eastAsia="黑体"/>
          <w:bCs/>
          <w:snapToGrid/>
          <w:kern w:val="2"/>
        </w:rPr>
        <w:t xml:space="preserve">第七十五条  </w:t>
      </w:r>
      <w:r>
        <w:rPr>
          <w:rFonts w:hint="eastAsia" w:ascii="仿宋_GB2312" w:hAnsi="等线"/>
          <w:snapToGrid/>
          <w:kern w:val="2"/>
        </w:rPr>
        <w:t>本条例自2020年5月1日起施行。</w:t>
      </w:r>
    </w:p>
    <w:p>
      <w:pPr>
        <w:pStyle w:val="2"/>
        <w:spacing w:line="560" w:lineRule="exact"/>
      </w:pPr>
    </w:p>
    <w:p>
      <w:pPr>
        <w:spacing w:line="560" w:lineRule="exact"/>
      </w:pPr>
    </w:p>
    <w:p>
      <w:bookmarkStart w:id="64" w:name="_GoBack"/>
      <w:bookmarkEnd w:id="64"/>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84074"/>
    <w:rsid w:val="4BA8407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w:basedOn w:val="1"/>
    <w:qFormat/>
    <w:uiPriority w:val="0"/>
    <w:rPr>
      <w:rFonts w:ascii="Calibri" w:hAnsi="Calibri" w:eastAsia="宋体" w:cs="Calibri"/>
      <w:szCs w:val="21"/>
    </w:rPr>
  </w:style>
  <w:style w:type="character" w:customStyle="1" w:styleId="8">
    <w:name w:val="标题 3 Char"/>
    <w:basedOn w:val="5"/>
    <w:qFormat/>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2020-04-17T02:17:00Z</dcterms:created>
  <dc:creator>苏健 }</dc:creator>
  <cp:lastModifiedBy>苏健 }</cp:lastModifiedBy>
  <dcterms:modified xsi:type="dcterms:W3CDTF">2020-04-17T02:19:35Z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