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baseline"/>
        <w:rPr>
          <w:rFonts w:ascii="宋体" w:hAnsi="宋体" w:eastAsia="宋体" w:cs="方正小标宋_GBK"/>
          <w:sz w:val="44"/>
          <w:szCs w:val="44"/>
        </w:rPr>
      </w:pPr>
      <w:r>
        <w:rPr>
          <w:rFonts w:hint="eastAsia" w:ascii="宋体" w:hAnsi="宋体" w:eastAsia="宋体" w:cs="方正小标宋_GBK"/>
          <w:sz w:val="44"/>
          <w:szCs w:val="44"/>
        </w:rPr>
        <w:t>山东省生物多样性保护条例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baseline"/>
        <w:rPr>
          <w:rFonts w:hint="eastAsia" w:ascii="楷体_GB2312" w:hAnsi="楷体_GB2312" w:eastAsia="楷体_GB2312" w:cs="楷体_GB2312"/>
        </w:rPr>
      </w:pPr>
      <w:bookmarkStart w:id="1" w:name="_GoBack"/>
      <w:bookmarkEnd w:id="1"/>
      <w:r>
        <w:rPr>
          <w:rFonts w:hint="eastAsia" w:ascii="楷体_GB2312" w:hAnsi="楷体_GB2312" w:eastAsia="楷体_GB2312" w:cs="楷体_GB2312"/>
        </w:rPr>
        <w:t>（</w:t>
      </w:r>
      <w:r>
        <w:rPr>
          <w:rFonts w:hint="default" w:ascii="Times New Roman" w:hAnsi="Times New Roman" w:eastAsia="楷体_GB2312" w:cs="Times New Roman"/>
          <w:color w:val="000000"/>
        </w:rPr>
        <w:t>2023年7月26日山东省第十四届人民代表大会常务委员会第四次会议通过</w:t>
      </w:r>
      <w:r>
        <w:rPr>
          <w:rFonts w:hint="eastAsia" w:ascii="楷体_GB2312" w:hAnsi="楷体_GB2312" w:eastAsia="楷体_GB2312" w:cs="楷体_GB231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bidi w:val="0"/>
        <w:adjustRightInd/>
        <w:snapToGrid/>
        <w:spacing w:line="240" w:lineRule="auto"/>
        <w:ind w:left="0" w:leftChars="0" w:firstLine="632" w:firstLineChars="200"/>
        <w:outlineLvl w:val="0"/>
        <w:rPr>
          <w:rFonts w:ascii="仿宋_GB2312" w:hAnsi="仿宋"/>
        </w:rPr>
      </w:pPr>
      <w:r>
        <w:rPr>
          <w:rStyle w:val="28"/>
          <w:rFonts w:hint="default"/>
        </w:rPr>
        <w:t>第一</w:t>
      </w:r>
      <w:r>
        <w:rPr>
          <w:rFonts w:hint="eastAsia" w:ascii="黑体" w:hAnsi="黑体" w:eastAsia="黑体"/>
          <w:bCs/>
        </w:rPr>
        <w:t>条</w:t>
      </w:r>
      <w:r>
        <w:rPr>
          <w:rFonts w:hint="eastAsia" w:ascii="仿宋_GB2312" w:hAnsi="仿宋_GB2312" w:eastAsia="仿宋_GB2312" w:cs="仿宋_GB2312"/>
          <w:bCs/>
          <w:lang w:eastAsia="zh-CN"/>
        </w:rPr>
        <w:t>　</w:t>
      </w:r>
      <w:r>
        <w:rPr>
          <w:rFonts w:hint="eastAsia" w:ascii="仿宋_GB2312" w:hAnsi="仿宋"/>
        </w:rPr>
        <w:t>为了保护生物多样性，保障生态安全，推进生态文明建设，促进经济社会可持续发展，</w:t>
      </w:r>
      <w:r>
        <w:rPr>
          <w:rFonts w:hint="eastAsia" w:ascii="仿宋_GB2312" w:hAnsi="仿宋"/>
          <w:color w:val="000000"/>
        </w:rPr>
        <w:t>推动黄河流域生态保护和高质量发展，</w:t>
      </w:r>
      <w:r>
        <w:rPr>
          <w:rFonts w:hint="eastAsia" w:ascii="仿宋_GB2312" w:hAnsi="仿宋"/>
        </w:rPr>
        <w:t>实现人与自然和谐共生，根据《中华人民共和国环境保护法》等法律、行政法规，结合本省实际，制定本条例。</w:t>
      </w:r>
    </w:p>
    <w:p>
      <w:pPr>
        <w:keepNext w:val="0"/>
        <w:keepLines w:val="0"/>
        <w:pageBreakBefore w:val="0"/>
        <w:widowControl w:val="0"/>
        <w:kinsoku/>
        <w:wordWrap/>
        <w:overflowPunct/>
        <w:bidi w:val="0"/>
        <w:adjustRightInd/>
        <w:snapToGrid/>
        <w:spacing w:line="240" w:lineRule="auto"/>
        <w:ind w:left="0" w:leftChars="0" w:firstLine="632" w:firstLineChars="200"/>
        <w:outlineLvl w:val="0"/>
        <w:rPr>
          <w:rFonts w:ascii="仿宋_GB2312" w:hAnsi="仿宋"/>
        </w:rPr>
      </w:pPr>
      <w:r>
        <w:rPr>
          <w:rStyle w:val="28"/>
          <w:rFonts w:hint="default"/>
        </w:rPr>
        <w:t>第二</w:t>
      </w:r>
      <w:r>
        <w:rPr>
          <w:rFonts w:hint="eastAsia" w:ascii="黑体" w:hAnsi="黑体" w:eastAsia="黑体"/>
          <w:bCs/>
        </w:rPr>
        <w:t>条</w:t>
      </w:r>
      <w:r>
        <w:rPr>
          <w:rFonts w:hint="eastAsia" w:ascii="仿宋_GB2312" w:hAnsi="仿宋_GB2312" w:eastAsia="仿宋_GB2312" w:cs="仿宋_GB2312"/>
          <w:bCs/>
          <w:lang w:eastAsia="zh-CN"/>
        </w:rPr>
        <w:t>　</w:t>
      </w:r>
      <w:r>
        <w:rPr>
          <w:rFonts w:hint="eastAsia" w:ascii="仿宋_GB2312" w:hAnsi="仿宋"/>
        </w:rPr>
        <w:t>本省行政区域内生物多样性的保护、利用、管理等活动，适用本条例。</w:t>
      </w:r>
    </w:p>
    <w:p>
      <w:pPr>
        <w:pStyle w:val="2"/>
        <w:keepNext w:val="0"/>
        <w:keepLines w:val="0"/>
        <w:pageBreakBefore w:val="0"/>
        <w:widowControl w:val="0"/>
        <w:kinsoku/>
        <w:wordWrap/>
        <w:overflowPunct/>
        <w:bidi w:val="0"/>
        <w:adjustRightInd/>
        <w:snapToGrid/>
        <w:spacing w:after="0" w:afterLines="0" w:line="240" w:lineRule="auto"/>
        <w:ind w:left="0" w:leftChars="0" w:firstLine="632" w:firstLineChars="200"/>
        <w:rPr>
          <w:rFonts w:ascii="仿宋_GB2312" w:hAnsi="仿宋"/>
        </w:rPr>
      </w:pPr>
      <w:r>
        <w:rPr>
          <w:rFonts w:hint="eastAsia" w:ascii="仿宋_GB2312" w:hAnsi="仿宋"/>
        </w:rPr>
        <w:t>本条例所称生物多样性，是指动物、植物、微生物等生物与环境形成的生态复合体以及与此相关的各种生态过程的总和，包含生态系统多样性、物种多样性和基因多样性。</w:t>
      </w:r>
    </w:p>
    <w:p>
      <w:pPr>
        <w:keepNext w:val="0"/>
        <w:keepLines w:val="0"/>
        <w:pageBreakBefore w:val="0"/>
        <w:widowControl w:val="0"/>
        <w:kinsoku/>
        <w:wordWrap/>
        <w:overflowPunct/>
        <w:bidi w:val="0"/>
        <w:adjustRightInd/>
        <w:snapToGrid/>
        <w:spacing w:line="240" w:lineRule="auto"/>
        <w:ind w:left="0" w:leftChars="0" w:firstLine="632" w:firstLineChars="200"/>
        <w:outlineLvl w:val="0"/>
        <w:rPr>
          <w:rFonts w:ascii="仿宋_GB2312" w:hAnsi="仿宋"/>
        </w:rPr>
      </w:pPr>
      <w:r>
        <w:rPr>
          <w:rFonts w:hint="eastAsia" w:ascii="黑体" w:hAnsi="黑体" w:eastAsia="黑体"/>
          <w:bCs/>
        </w:rPr>
        <w:t>第三条</w:t>
      </w:r>
      <w:r>
        <w:rPr>
          <w:rFonts w:hint="eastAsia" w:ascii="仿宋_GB2312" w:hAnsi="仿宋_GB2312" w:eastAsia="仿宋_GB2312" w:cs="仿宋_GB2312"/>
          <w:bCs/>
          <w:lang w:eastAsia="zh-CN"/>
        </w:rPr>
        <w:t>　</w:t>
      </w:r>
      <w:r>
        <w:rPr>
          <w:rFonts w:hint="eastAsia" w:ascii="仿宋_GB2312" w:hAnsi="仿宋"/>
        </w:rPr>
        <w:t>生物多样性保护应当遵循保护优先、因地制宜、持续利用、惠益分享、公众参与的原则。</w:t>
      </w:r>
    </w:p>
    <w:p>
      <w:pPr>
        <w:keepNext w:val="0"/>
        <w:keepLines w:val="0"/>
        <w:pageBreakBefore w:val="0"/>
        <w:widowControl w:val="0"/>
        <w:kinsoku/>
        <w:wordWrap/>
        <w:overflowPunct/>
        <w:topLinePunct/>
        <w:bidi w:val="0"/>
        <w:adjustRightInd/>
        <w:snapToGrid/>
        <w:spacing w:line="240" w:lineRule="auto"/>
        <w:ind w:left="0" w:leftChars="0" w:firstLine="632" w:firstLineChars="200"/>
        <w:outlineLvl w:val="0"/>
        <w:rPr>
          <w:color w:val="C00000"/>
        </w:rPr>
      </w:pPr>
      <w:r>
        <w:rPr>
          <w:rStyle w:val="28"/>
          <w:rFonts w:hint="default"/>
        </w:rPr>
        <w:t>第四</w:t>
      </w:r>
      <w:r>
        <w:rPr>
          <w:rFonts w:hint="eastAsia" w:ascii="黑体" w:hAnsi="黑体" w:eastAsia="黑体"/>
          <w:bCs/>
        </w:rPr>
        <w:t>条</w:t>
      </w:r>
      <w:r>
        <w:rPr>
          <w:rFonts w:hint="eastAsia" w:ascii="仿宋_GB2312" w:hAnsi="仿宋_GB2312" w:eastAsia="仿宋_GB2312" w:cs="仿宋_GB2312"/>
          <w:bCs/>
          <w:lang w:eastAsia="zh-CN"/>
        </w:rPr>
        <w:t>　</w:t>
      </w:r>
      <w:r>
        <w:rPr>
          <w:rFonts w:hint="eastAsia"/>
        </w:rPr>
        <w:t>县级以上人民政府应当</w:t>
      </w:r>
      <w:r>
        <w:rPr>
          <w:rFonts w:hint="eastAsia" w:ascii="仿宋_GB2312" w:hAnsi="仿宋"/>
        </w:rPr>
        <w:t>将生物多样性保护内容纳入国民经</w:t>
      </w:r>
      <w:r>
        <w:rPr>
          <w:rFonts w:hint="eastAsia" w:ascii="Calibri" w:hAnsi="Calibri"/>
        </w:rPr>
        <w:t>济和社</w:t>
      </w:r>
      <w:r>
        <w:rPr>
          <w:rFonts w:hint="eastAsia" w:ascii="仿宋_GB2312" w:hAnsi="仿宋"/>
        </w:rPr>
        <w:t>会发展规划、国土空间规划，</w:t>
      </w:r>
      <w:r>
        <w:rPr>
          <w:rFonts w:hint="eastAsia"/>
        </w:rPr>
        <w:t>采取生态环境保护和污染防治等措施，防止生态破坏和环境污染对生物多样性造成危害，制定、落实有利于生物多样性保护的经济、技术等政策措施，促进经济发展与生态保护协调统一。</w:t>
      </w:r>
      <w:r>
        <w:rPr>
          <w:rFonts w:hint="eastAsia"/>
          <w:color w:val="C00000"/>
        </w:rPr>
        <w:t xml:space="preserve"> </w:t>
      </w:r>
    </w:p>
    <w:p>
      <w:pPr>
        <w:pStyle w:val="2"/>
        <w:keepNext w:val="0"/>
        <w:keepLines w:val="0"/>
        <w:pageBreakBefore w:val="0"/>
        <w:widowControl w:val="0"/>
        <w:kinsoku/>
        <w:wordWrap/>
        <w:overflowPunct/>
        <w:bidi w:val="0"/>
        <w:adjustRightInd/>
        <w:snapToGrid/>
        <w:spacing w:after="0" w:afterLines="0" w:line="240" w:lineRule="auto"/>
        <w:ind w:left="0" w:leftChars="0" w:firstLine="632" w:firstLineChars="200"/>
        <w:rPr>
          <w:rFonts w:ascii="仿宋_GB2312" w:hAnsi="仿宋"/>
        </w:rPr>
      </w:pPr>
      <w:r>
        <w:rPr>
          <w:rFonts w:hint="eastAsia" w:ascii="仿宋_GB2312" w:hAnsi="仿宋"/>
        </w:rPr>
        <w:t>县级以上人民政府应当建立健全资金投入机制，加大对生物多样性保护的投入力度，将生物多样性的保护和管理经费列入本级财政预算，鼓励、支持、引导社会资金参与生物多样性保护。</w:t>
      </w:r>
    </w:p>
    <w:p>
      <w:pPr>
        <w:pStyle w:val="2"/>
        <w:keepNext w:val="0"/>
        <w:keepLines w:val="0"/>
        <w:pageBreakBefore w:val="0"/>
        <w:widowControl w:val="0"/>
        <w:kinsoku/>
        <w:wordWrap/>
        <w:overflowPunct/>
        <w:bidi w:val="0"/>
        <w:adjustRightInd/>
        <w:snapToGrid/>
        <w:spacing w:after="0" w:afterLines="0" w:line="240" w:lineRule="auto"/>
        <w:ind w:left="0" w:leftChars="0" w:firstLine="632" w:firstLineChars="200"/>
        <w:outlineLvl w:val="0"/>
      </w:pPr>
      <w:bookmarkStart w:id="0" w:name="OLE_LINK4"/>
      <w:r>
        <w:rPr>
          <w:rFonts w:hint="eastAsia" w:ascii="仿宋_GB2312" w:hAnsi="华文仿宋" w:cs="华文仿宋"/>
        </w:rPr>
        <w:t>省人民政府应当将生物多样性保护工作情况作为生态环境保护督察的重要内容。</w:t>
      </w:r>
      <w:bookmarkEnd w:id="0"/>
    </w:p>
    <w:p>
      <w:pPr>
        <w:keepNext w:val="0"/>
        <w:keepLines w:val="0"/>
        <w:pageBreakBefore w:val="0"/>
        <w:widowControl w:val="0"/>
        <w:kinsoku/>
        <w:wordWrap/>
        <w:overflowPunct/>
        <w:topLinePunct/>
        <w:bidi w:val="0"/>
        <w:adjustRightInd/>
        <w:snapToGrid/>
        <w:spacing w:line="240" w:lineRule="auto"/>
        <w:ind w:left="0" w:leftChars="0" w:firstLine="632" w:firstLineChars="200"/>
        <w:outlineLvl w:val="0"/>
        <w:rPr>
          <w:color w:val="C00000"/>
        </w:rPr>
      </w:pPr>
      <w:r>
        <w:rPr>
          <w:rFonts w:hint="eastAsia" w:ascii="黑体" w:hAnsi="黑体" w:eastAsia="黑体" w:cs="黑体"/>
        </w:rPr>
        <w:t>第五</w:t>
      </w:r>
      <w:r>
        <w:rPr>
          <w:rFonts w:hint="eastAsia" w:ascii="黑体" w:hAnsi="黑体" w:eastAsia="黑体"/>
          <w:bCs/>
        </w:rPr>
        <w:t>条</w:t>
      </w:r>
      <w:r>
        <w:rPr>
          <w:rFonts w:hint="eastAsia" w:ascii="仿宋_GB2312" w:hAnsi="仿宋_GB2312" w:eastAsia="仿宋_GB2312" w:cs="仿宋_GB2312"/>
          <w:bCs/>
          <w:lang w:eastAsia="zh-CN"/>
        </w:rPr>
        <w:t>　</w:t>
      </w:r>
      <w:r>
        <w:rPr>
          <w:rFonts w:hint="eastAsia" w:ascii="仿宋_GB2312" w:hAnsi="仿宋_GB2312" w:cs="仿宋_GB2312"/>
        </w:rPr>
        <w:t>省、设区的市人民政府</w:t>
      </w:r>
      <w:r>
        <w:rPr>
          <w:rFonts w:hint="eastAsia" w:ascii="仿宋_GB2312" w:hAnsi="仿宋"/>
        </w:rPr>
        <w:t>生态环境主管部门负责本行政区域内生物多样性保护的综合监督管理，</w:t>
      </w:r>
      <w:r>
        <w:rPr>
          <w:rFonts w:hint="eastAsia"/>
        </w:rPr>
        <w:t>组织协调生物多样性保护相关工作，会同有关部门制定</w:t>
      </w:r>
      <w:r>
        <w:rPr>
          <w:rFonts w:hint="eastAsia" w:ascii="仿宋_GB2312" w:hAnsi="仿宋"/>
        </w:rPr>
        <w:t>促进生物多样性保护和可持续利用政策，</w:t>
      </w:r>
      <w:r>
        <w:rPr>
          <w:rFonts w:hint="eastAsia"/>
        </w:rPr>
        <w:t>开展生物多样性调查、监测、预警、综合评估和信息化建设，加强生物物种、遗传资源的</w:t>
      </w:r>
      <w:r>
        <w:rPr>
          <w:rFonts w:hint="eastAsia" w:ascii="仿宋_GB2312" w:hAnsi="仿宋"/>
        </w:rPr>
        <w:t>相关工作，组织生物多样性保护宣传</w:t>
      </w:r>
      <w:r>
        <w:rPr>
          <w:rFonts w:hint="eastAsia"/>
        </w:rPr>
        <w:t>等工作。</w:t>
      </w:r>
    </w:p>
    <w:p>
      <w:pPr>
        <w:pStyle w:val="11"/>
        <w:keepNext w:val="0"/>
        <w:keepLines w:val="0"/>
        <w:pageBreakBefore w:val="0"/>
        <w:widowControl w:val="0"/>
        <w:kinsoku/>
        <w:wordWrap/>
        <w:overflowPunct/>
        <w:bidi w:val="0"/>
        <w:adjustRightInd/>
        <w:snapToGrid/>
        <w:spacing w:line="240" w:lineRule="auto"/>
        <w:ind w:left="0" w:leftChars="0" w:firstLine="632" w:firstLineChars="200"/>
        <w:rPr>
          <w:rFonts w:ascii="仿宋_GB2312" w:hAnsi="仿宋"/>
          <w:sz w:val="32"/>
          <w:szCs w:val="32"/>
        </w:rPr>
      </w:pPr>
      <w:r>
        <w:rPr>
          <w:rFonts w:hint="eastAsia"/>
          <w:sz w:val="32"/>
          <w:szCs w:val="32"/>
        </w:rPr>
        <w:t>县级以上人民政府</w:t>
      </w:r>
      <w:r>
        <w:rPr>
          <w:rFonts w:hint="eastAsia" w:ascii="仿宋_GB2312" w:hAnsi="仿宋"/>
          <w:sz w:val="32"/>
          <w:szCs w:val="32"/>
        </w:rPr>
        <w:t>自然资源、林业部门按照职责分工负责本行政区域内生物多样性保护相关工作，开展自然保护地标准化、规范化建设，组织开展陆生野生动植物资源调查，组织、指导陆生野生动植物资源保护和经营利用等工作。</w:t>
      </w:r>
      <w:r>
        <w:rPr>
          <w:rFonts w:hint="eastAsia" w:ascii="黑体" w:hAnsi="黑体" w:eastAsia="黑体" w:cs="黑体"/>
          <w:sz w:val="32"/>
          <w:szCs w:val="32"/>
        </w:rPr>
        <w:t xml:space="preserve"> </w:t>
      </w:r>
    </w:p>
    <w:p>
      <w:pPr>
        <w:pStyle w:val="11"/>
        <w:keepNext w:val="0"/>
        <w:keepLines w:val="0"/>
        <w:pageBreakBefore w:val="0"/>
        <w:widowControl w:val="0"/>
        <w:kinsoku/>
        <w:wordWrap/>
        <w:overflowPunct/>
        <w:bidi w:val="0"/>
        <w:adjustRightInd/>
        <w:snapToGrid/>
        <w:spacing w:line="240" w:lineRule="auto"/>
        <w:ind w:left="0" w:leftChars="0" w:firstLine="632" w:firstLineChars="200"/>
        <w:rPr>
          <w:sz w:val="32"/>
          <w:szCs w:val="32"/>
        </w:rPr>
      </w:pPr>
      <w:r>
        <w:rPr>
          <w:rFonts w:hint="eastAsia"/>
          <w:sz w:val="32"/>
          <w:szCs w:val="32"/>
        </w:rPr>
        <w:t>县级以上人民政府农业农村主管部门负责本行政区域内</w:t>
      </w:r>
      <w:r>
        <w:rPr>
          <w:rFonts w:hint="eastAsia" w:ascii="仿宋_GB2312" w:hAnsi="仿宋"/>
          <w:sz w:val="32"/>
          <w:szCs w:val="32"/>
        </w:rPr>
        <w:t>农田生态系统、渔业水域等区域外来入侵物种和农业转基因生</w:t>
      </w:r>
      <w:r>
        <w:rPr>
          <w:rFonts w:hint="eastAsia" w:ascii="仿宋_GB2312" w:hAnsi="仿宋_GB2312" w:cs="仿宋_GB2312"/>
          <w:color w:val="000000"/>
          <w:sz w:val="32"/>
          <w:szCs w:val="32"/>
        </w:rPr>
        <w:t>物安全的监督管理，</w:t>
      </w:r>
      <w:r>
        <w:rPr>
          <w:rFonts w:hint="eastAsia"/>
          <w:sz w:val="32"/>
          <w:szCs w:val="32"/>
        </w:rPr>
        <w:t>负责水生野生动植物保护和有关陆生野生植物保护工作，</w:t>
      </w:r>
      <w:r>
        <w:rPr>
          <w:rFonts w:hint="eastAsia" w:ascii="仿宋_GB2312" w:hAnsi="仿宋_GB2312" w:cs="仿宋_GB2312"/>
          <w:color w:val="000000"/>
          <w:sz w:val="32"/>
          <w:szCs w:val="32"/>
        </w:rPr>
        <w:t>加强</w:t>
      </w:r>
      <w:r>
        <w:rPr>
          <w:rFonts w:hint="eastAsia"/>
          <w:sz w:val="32"/>
          <w:szCs w:val="32"/>
        </w:rPr>
        <w:t>畜禽遗传资源保种场和保护区建设等工作。</w:t>
      </w:r>
    </w:p>
    <w:p>
      <w:pPr>
        <w:pStyle w:val="11"/>
        <w:keepNext w:val="0"/>
        <w:keepLines w:val="0"/>
        <w:pageBreakBefore w:val="0"/>
        <w:widowControl w:val="0"/>
        <w:kinsoku/>
        <w:wordWrap/>
        <w:overflowPunct/>
        <w:bidi w:val="0"/>
        <w:adjustRightInd/>
        <w:snapToGrid/>
        <w:spacing w:line="240" w:lineRule="auto"/>
        <w:ind w:left="0" w:leftChars="0" w:firstLine="632" w:firstLineChars="200"/>
        <w:rPr>
          <w:sz w:val="32"/>
          <w:szCs w:val="32"/>
        </w:rPr>
      </w:pPr>
      <w:r>
        <w:rPr>
          <w:rFonts w:hint="eastAsia"/>
          <w:sz w:val="32"/>
          <w:szCs w:val="32"/>
        </w:rPr>
        <w:t>县级以上人民政府海洋部门负责组织实施海域、海岛、海岸线修复工程，保障海洋生物多样性可持续利用等工作。</w:t>
      </w:r>
    </w:p>
    <w:p>
      <w:pPr>
        <w:pStyle w:val="11"/>
        <w:keepNext w:val="0"/>
        <w:keepLines w:val="0"/>
        <w:pageBreakBefore w:val="0"/>
        <w:widowControl w:val="0"/>
        <w:kinsoku/>
        <w:wordWrap/>
        <w:overflowPunct/>
        <w:bidi w:val="0"/>
        <w:adjustRightInd/>
        <w:snapToGrid/>
        <w:spacing w:line="240" w:lineRule="auto"/>
        <w:ind w:left="0" w:leftChars="0" w:firstLine="632" w:firstLineChars="200"/>
        <w:rPr>
          <w:rFonts w:ascii="仿宋_GB2312" w:hAnsi="仿宋"/>
          <w:sz w:val="32"/>
          <w:szCs w:val="32"/>
        </w:rPr>
      </w:pPr>
      <w:r>
        <w:rPr>
          <w:rFonts w:hint="eastAsia" w:ascii="仿宋_GB2312" w:hAnsi="仿宋"/>
          <w:sz w:val="32"/>
          <w:szCs w:val="32"/>
        </w:rPr>
        <w:t>县级以上人民政府发展改革、教育、科学技术、财政、住房城乡建设、水利、卫生健康、市场监督管理等部门，在各自职责范围内做好生物多样性保护相关工作。</w:t>
      </w:r>
    </w:p>
    <w:p>
      <w:pPr>
        <w:pStyle w:val="11"/>
        <w:keepNext w:val="0"/>
        <w:keepLines w:val="0"/>
        <w:pageBreakBefore w:val="0"/>
        <w:widowControl w:val="0"/>
        <w:kinsoku/>
        <w:wordWrap/>
        <w:overflowPunct/>
        <w:bidi w:val="0"/>
        <w:adjustRightInd/>
        <w:snapToGrid/>
        <w:spacing w:line="240" w:lineRule="auto"/>
        <w:ind w:left="0" w:leftChars="0" w:firstLine="632" w:firstLineChars="200"/>
        <w:rPr>
          <w:rFonts w:ascii="仿宋_GB2312" w:hAnsi="仿宋"/>
          <w:sz w:val="32"/>
          <w:szCs w:val="32"/>
        </w:rPr>
      </w:pPr>
      <w:r>
        <w:rPr>
          <w:rFonts w:hint="eastAsia" w:ascii="黑体" w:hAnsi="黑体" w:eastAsia="黑体" w:cs="黑体"/>
          <w:bCs/>
          <w:sz w:val="32"/>
          <w:szCs w:val="32"/>
        </w:rPr>
        <w:t>第六</w:t>
      </w:r>
      <w:r>
        <w:rPr>
          <w:rFonts w:hint="eastAsia" w:ascii="黑体" w:hAnsi="黑体" w:eastAsia="黑体"/>
          <w:bCs/>
          <w:sz w:val="32"/>
          <w:szCs w:val="32"/>
        </w:rPr>
        <w:t>条</w:t>
      </w:r>
      <w:r>
        <w:rPr>
          <w:rFonts w:hint="eastAsia" w:ascii="仿宋_GB2312" w:hAnsi="仿宋_GB2312" w:eastAsia="仿宋_GB2312" w:cs="仿宋_GB2312"/>
          <w:bCs/>
          <w:sz w:val="32"/>
          <w:szCs w:val="32"/>
          <w:lang w:eastAsia="zh-CN"/>
        </w:rPr>
        <w:t>　</w:t>
      </w:r>
      <w:r>
        <w:rPr>
          <w:rFonts w:hint="eastAsia" w:ascii="仿宋_GB2312" w:hAnsi="仿宋"/>
          <w:sz w:val="32"/>
          <w:szCs w:val="32"/>
        </w:rPr>
        <w:t>县级以上人民政府应当建立生物多样性保护协调机制，统筹解决生态修复、生态廊道建设、外来入侵物种防控、遗传资源保护等生物多样性保护的重大问题。</w:t>
      </w:r>
    </w:p>
    <w:p>
      <w:pPr>
        <w:pStyle w:val="8"/>
        <w:keepNext w:val="0"/>
        <w:keepLines w:val="0"/>
        <w:pageBreakBefore w:val="0"/>
        <w:widowControl w:val="0"/>
        <w:kinsoku/>
        <w:wordWrap/>
        <w:overflowPunct/>
        <w:topLinePunct/>
        <w:bidi w:val="0"/>
        <w:adjustRightInd/>
        <w:snapToGrid/>
        <w:spacing w:line="240" w:lineRule="auto"/>
        <w:ind w:left="0" w:leftChars="0"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设区的市、县（市、区）人民政府应当加强区域协作，建立健全生物多样性保护的信息共享、预警预报、应急处置、协同联动等工作机制。</w:t>
      </w:r>
    </w:p>
    <w:p>
      <w:pPr>
        <w:keepNext w:val="0"/>
        <w:keepLines w:val="0"/>
        <w:pageBreakBefore w:val="0"/>
        <w:widowControl w:val="0"/>
        <w:kinsoku/>
        <w:wordWrap/>
        <w:overflowPunct/>
        <w:bidi w:val="0"/>
        <w:adjustRightInd/>
        <w:snapToGrid/>
        <w:spacing w:line="240" w:lineRule="auto"/>
        <w:ind w:left="0" w:leftChars="0" w:firstLine="632" w:firstLineChars="200"/>
        <w:outlineLvl w:val="0"/>
        <w:rPr>
          <w:rFonts w:ascii="仿宋_GB2312" w:hAnsi="仿宋"/>
        </w:rPr>
      </w:pPr>
      <w:r>
        <w:rPr>
          <w:rFonts w:hint="eastAsia" w:ascii="黑体" w:hAnsi="黑体" w:eastAsia="黑体"/>
          <w:bCs/>
        </w:rPr>
        <w:t>第七条</w:t>
      </w:r>
      <w:r>
        <w:rPr>
          <w:rFonts w:hint="eastAsia" w:ascii="仿宋_GB2312" w:hAnsi="仿宋_GB2312" w:eastAsia="仿宋_GB2312" w:cs="仿宋_GB2312"/>
          <w:bCs/>
          <w:lang w:eastAsia="zh-CN"/>
        </w:rPr>
        <w:t>　</w:t>
      </w:r>
      <w:r>
        <w:rPr>
          <w:rFonts w:hint="eastAsia" w:ascii="仿宋_GB2312" w:hAnsi="仿宋"/>
        </w:rPr>
        <w:t>各级人民政府应当加强生物多样性保护宣传和普及工作，组织开展多种形式</w:t>
      </w:r>
      <w:r>
        <w:rPr>
          <w:rFonts w:ascii="仿宋_GB2312" w:hAnsi="仿宋"/>
        </w:rPr>
        <w:t>的</w:t>
      </w:r>
      <w:r>
        <w:rPr>
          <w:rFonts w:hint="eastAsia" w:ascii="仿宋_GB2312" w:hAnsi="仿宋"/>
        </w:rPr>
        <w:t>生物</w:t>
      </w:r>
      <w:r>
        <w:rPr>
          <w:rFonts w:ascii="仿宋_GB2312" w:hAnsi="仿宋"/>
        </w:rPr>
        <w:t>多样性保护展示</w:t>
      </w:r>
      <w:r>
        <w:rPr>
          <w:rFonts w:hint="eastAsia" w:ascii="仿宋_GB2312" w:hAnsi="仿宋"/>
        </w:rPr>
        <w:t>活动，引导公众积极参与生物多样性保护，营造保护生物多样性的良好氛围。</w:t>
      </w:r>
    </w:p>
    <w:p>
      <w:pPr>
        <w:keepNext w:val="0"/>
        <w:keepLines w:val="0"/>
        <w:pageBreakBefore w:val="0"/>
        <w:widowControl w:val="0"/>
        <w:kinsoku/>
        <w:wordWrap/>
        <w:overflowPunct/>
        <w:bidi w:val="0"/>
        <w:adjustRightInd/>
        <w:snapToGrid/>
        <w:spacing w:line="240" w:lineRule="auto"/>
        <w:ind w:left="0" w:leftChars="0" w:firstLine="632" w:firstLineChars="200"/>
        <w:rPr>
          <w:rFonts w:ascii="仿宋_GB2312" w:hAnsi="仿宋"/>
        </w:rPr>
      </w:pPr>
      <w:r>
        <w:rPr>
          <w:rFonts w:hint="eastAsia" w:ascii="仿宋_GB2312" w:hAnsi="仿宋"/>
        </w:rPr>
        <w:t>教育主管部门、学校应当将生物多样性保护知识纳入学校教育内容，培养学生的生物多样性保护意识。</w:t>
      </w:r>
    </w:p>
    <w:p>
      <w:pPr>
        <w:pStyle w:val="2"/>
        <w:keepNext w:val="0"/>
        <w:keepLines w:val="0"/>
        <w:pageBreakBefore w:val="0"/>
        <w:widowControl w:val="0"/>
        <w:kinsoku/>
        <w:wordWrap/>
        <w:overflowPunct/>
        <w:bidi w:val="0"/>
        <w:adjustRightInd/>
        <w:snapToGrid/>
        <w:spacing w:after="0" w:afterLines="0" w:line="240" w:lineRule="auto"/>
        <w:ind w:left="0" w:leftChars="0" w:firstLine="632" w:firstLineChars="200"/>
      </w:pPr>
      <w:r>
        <w:rPr>
          <w:rFonts w:hint="eastAsia" w:ascii="仿宋_GB2312" w:hAnsi="仿宋"/>
        </w:rPr>
        <w:t>新闻媒体应当开展生物多样性保护法律、法规和知识的宣传，对违法行为进行舆论监督。</w:t>
      </w:r>
    </w:p>
    <w:p>
      <w:pPr>
        <w:keepNext w:val="0"/>
        <w:keepLines w:val="0"/>
        <w:pageBreakBefore w:val="0"/>
        <w:widowControl w:val="0"/>
        <w:kinsoku/>
        <w:wordWrap/>
        <w:overflowPunct/>
        <w:bidi w:val="0"/>
        <w:adjustRightInd/>
        <w:snapToGrid/>
        <w:spacing w:line="240" w:lineRule="auto"/>
        <w:ind w:left="0" w:leftChars="0" w:firstLine="632" w:firstLineChars="200"/>
        <w:outlineLvl w:val="0"/>
        <w:rPr>
          <w:rFonts w:ascii="仿宋_GB2312" w:hAnsi="仿宋"/>
        </w:rPr>
      </w:pPr>
      <w:r>
        <w:rPr>
          <w:rFonts w:hint="eastAsia" w:ascii="黑体" w:hAnsi="黑体" w:eastAsia="黑体"/>
          <w:bCs/>
        </w:rPr>
        <w:t>第八条</w:t>
      </w:r>
      <w:r>
        <w:rPr>
          <w:rFonts w:hint="eastAsia" w:ascii="仿宋_GB2312" w:hAnsi="仿宋_GB2312" w:eastAsia="仿宋_GB2312" w:cs="仿宋_GB2312"/>
          <w:bCs/>
          <w:lang w:eastAsia="zh-CN"/>
        </w:rPr>
        <w:t>　</w:t>
      </w:r>
      <w:r>
        <w:rPr>
          <w:rFonts w:hint="eastAsia" w:ascii="仿宋_GB2312" w:hAnsi="仿宋"/>
        </w:rPr>
        <w:t>县级以上人民政府生态环境、自然资源、农业农村、海洋、林业等有关部门，应当按照职责分工依法公开生物多样性保护有关信息，完善公众参与程序，为公民、法人和其他组织参与、监督生物多样性保护提供便利。</w:t>
      </w:r>
    </w:p>
    <w:p>
      <w:pPr>
        <w:keepNext w:val="0"/>
        <w:keepLines w:val="0"/>
        <w:pageBreakBefore w:val="0"/>
        <w:widowControl w:val="0"/>
        <w:kinsoku/>
        <w:wordWrap/>
        <w:overflowPunct/>
        <w:bidi w:val="0"/>
        <w:adjustRightInd/>
        <w:snapToGrid/>
        <w:spacing w:line="240" w:lineRule="auto"/>
        <w:ind w:left="0" w:leftChars="0" w:firstLine="632" w:firstLineChars="200"/>
        <w:rPr>
          <w:rFonts w:ascii="仿宋_GB2312" w:hAnsi="仿宋_GB2312" w:cs="仿宋_GB2312"/>
        </w:rPr>
      </w:pPr>
      <w:r>
        <w:rPr>
          <w:rFonts w:hint="eastAsia" w:ascii="仿宋_GB2312" w:hAnsi="仿宋"/>
        </w:rPr>
        <w:t>基层群众性自治组织、</w:t>
      </w:r>
      <w:r>
        <w:rPr>
          <w:rFonts w:hint="eastAsia" w:ascii="仿宋_GB2312" w:hAnsi="仿宋_GB2312" w:cs="仿宋_GB2312"/>
        </w:rPr>
        <w:t>企业事业单位、社会组织和公众，可以</w:t>
      </w:r>
      <w:r>
        <w:rPr>
          <w:rFonts w:ascii="仿宋_GB2312" w:hAnsi="仿宋_GB2312" w:cs="仿宋_GB2312"/>
          <w:color w:val="000000"/>
        </w:rPr>
        <w:t>依法通过捐赠、资助、志愿服务等方式</w:t>
      </w:r>
      <w:r>
        <w:rPr>
          <w:rFonts w:hint="eastAsia" w:ascii="仿宋_GB2312" w:hAnsi="仿宋_GB2312" w:cs="仿宋_GB2312"/>
        </w:rPr>
        <w:t>参与生态系统保护与修复、野生动植物保护与救助、外来入侵物种防控、濒危物种抢救性保护等活动。</w:t>
      </w:r>
    </w:p>
    <w:p>
      <w:pPr>
        <w:keepNext w:val="0"/>
        <w:keepLines w:val="0"/>
        <w:pageBreakBefore w:val="0"/>
        <w:widowControl w:val="0"/>
        <w:kinsoku/>
        <w:wordWrap/>
        <w:overflowPunct/>
        <w:bidi w:val="0"/>
        <w:adjustRightInd/>
        <w:snapToGrid/>
        <w:spacing w:line="240" w:lineRule="auto"/>
        <w:ind w:left="0" w:leftChars="0" w:firstLine="632" w:firstLineChars="200"/>
      </w:pPr>
      <w:r>
        <w:rPr>
          <w:rFonts w:hint="eastAsia" w:ascii="仿宋_GB2312" w:hAnsi="仿宋"/>
        </w:rPr>
        <w:t>县级以上人民政府可以通过购买服务等形式，支持企业事业单位、社会组织开展生物多样性保护宣传教育、咨询服务和法律援助等活动。</w:t>
      </w:r>
    </w:p>
    <w:p>
      <w:pPr>
        <w:pStyle w:val="8"/>
        <w:keepNext w:val="0"/>
        <w:keepLines w:val="0"/>
        <w:pageBreakBefore w:val="0"/>
        <w:widowControl w:val="0"/>
        <w:kinsoku/>
        <w:wordWrap/>
        <w:overflowPunct/>
        <w:topLinePunct/>
        <w:bidi w:val="0"/>
        <w:adjustRightInd/>
        <w:snapToGrid/>
        <w:spacing w:line="240" w:lineRule="auto"/>
        <w:ind w:left="0" w:leftChars="0" w:firstLine="632" w:firstLineChars="200"/>
        <w:outlineLvl w:val="0"/>
        <w:rPr>
          <w:rFonts w:ascii="Times New Roman" w:hAnsi="Times New Roman"/>
          <w:szCs w:val="32"/>
        </w:rPr>
      </w:pPr>
      <w:r>
        <w:rPr>
          <w:rStyle w:val="28"/>
          <w:rFonts w:hint="default"/>
        </w:rPr>
        <w:t>第九</w:t>
      </w:r>
      <w:r>
        <w:rPr>
          <w:rFonts w:hint="eastAsia" w:ascii="黑体" w:hAnsi="黑体" w:eastAsia="黑体"/>
          <w:bCs/>
        </w:rPr>
        <w:t>条</w:t>
      </w:r>
      <w:r>
        <w:rPr>
          <w:rFonts w:hint="eastAsia" w:ascii="仿宋_GB2312" w:hAnsi="仿宋_GB2312" w:eastAsia="仿宋_GB2312" w:cs="仿宋_GB2312"/>
          <w:bCs/>
          <w:lang w:eastAsia="zh-CN"/>
        </w:rPr>
        <w:t>　</w:t>
      </w:r>
      <w:r>
        <w:rPr>
          <w:rFonts w:hint="eastAsia" w:ascii="仿宋_GB2312" w:hAnsi="仿宋_GB2312" w:eastAsia="仿宋_GB2312" w:cs="仿宋_GB2312"/>
          <w:szCs w:val="32"/>
        </w:rPr>
        <w:t>企业事业单位和其他生产经营者应当采取资源利用效率高、对生态安全和生物多样性影响小的绿色生产方式，防止、减少对生物多样性的破坏，对所造成的损害依法承担责任。</w:t>
      </w:r>
    </w:p>
    <w:p>
      <w:pPr>
        <w:pStyle w:val="8"/>
        <w:keepNext w:val="0"/>
        <w:keepLines w:val="0"/>
        <w:pageBreakBefore w:val="0"/>
        <w:widowControl w:val="0"/>
        <w:kinsoku/>
        <w:wordWrap/>
        <w:overflowPunct/>
        <w:topLinePunct/>
        <w:bidi w:val="0"/>
        <w:adjustRightInd/>
        <w:snapToGrid/>
        <w:spacing w:line="240" w:lineRule="auto"/>
        <w:ind w:left="0" w:leftChars="0" w:firstLine="632" w:firstLineChars="200"/>
        <w:outlineLvl w:val="0"/>
        <w:rPr>
          <w:rFonts w:ascii="仿宋_GB2312" w:hAnsi="仿宋_GB2312" w:cs="仿宋_GB2312"/>
          <w:szCs w:val="32"/>
        </w:rPr>
      </w:pPr>
      <w:r>
        <w:rPr>
          <w:rStyle w:val="28"/>
          <w:rFonts w:hint="default"/>
        </w:rPr>
        <w:t>第十</w:t>
      </w:r>
      <w:r>
        <w:rPr>
          <w:rFonts w:hint="eastAsia" w:ascii="黑体" w:hAnsi="黑体" w:eastAsia="黑体"/>
          <w:bCs/>
        </w:rPr>
        <w:t>条</w:t>
      </w:r>
      <w:r>
        <w:rPr>
          <w:rFonts w:hint="eastAsia" w:ascii="仿宋_GB2312" w:hAnsi="仿宋_GB2312" w:eastAsia="仿宋_GB2312" w:cs="仿宋_GB2312"/>
          <w:bCs/>
          <w:lang w:eastAsia="zh-CN"/>
        </w:rPr>
        <w:t>　</w:t>
      </w:r>
      <w:r>
        <w:rPr>
          <w:rFonts w:hint="eastAsia" w:ascii="仿宋_GB2312" w:hAnsi="仿宋_GB2312" w:eastAsia="仿宋_GB2312" w:cs="仿宋_GB2312"/>
          <w:szCs w:val="32"/>
        </w:rPr>
        <w:t>公民应当增强生物多样性保护意识，采取低碳、循环、节俭的绿色生活方式，自觉履行生物多样性保护义务，对破坏生物多样性的行为有权投诉、举报。</w:t>
      </w:r>
    </w:p>
    <w:p>
      <w:pPr>
        <w:pStyle w:val="2"/>
        <w:keepNext w:val="0"/>
        <w:keepLines w:val="0"/>
        <w:pageBreakBefore w:val="0"/>
        <w:widowControl w:val="0"/>
        <w:kinsoku/>
        <w:wordWrap/>
        <w:overflowPunct/>
        <w:bidi w:val="0"/>
        <w:adjustRightInd/>
        <w:snapToGrid/>
        <w:spacing w:after="0" w:afterLines="0" w:line="240" w:lineRule="auto"/>
        <w:ind w:left="0" w:leftChars="0" w:firstLine="632" w:firstLineChars="200"/>
        <w:rPr>
          <w:rFonts w:ascii="仿宋_GB2312" w:hAnsi="仿宋"/>
        </w:rPr>
      </w:pPr>
      <w:r>
        <w:rPr>
          <w:rStyle w:val="28"/>
          <w:rFonts w:hint="default"/>
        </w:rPr>
        <w:t>第十一</w:t>
      </w:r>
      <w:r>
        <w:rPr>
          <w:rFonts w:hint="eastAsia" w:ascii="黑体" w:hAnsi="黑体" w:eastAsia="黑体"/>
          <w:bCs/>
        </w:rPr>
        <w:t>条</w:t>
      </w:r>
      <w:r>
        <w:rPr>
          <w:rFonts w:hint="eastAsia" w:ascii="仿宋_GB2312" w:hAnsi="仿宋_GB2312" w:eastAsia="仿宋_GB2312" w:cs="仿宋_GB2312"/>
          <w:bCs/>
          <w:lang w:eastAsia="zh-CN"/>
        </w:rPr>
        <w:t>　</w:t>
      </w:r>
      <w:r>
        <w:rPr>
          <w:rFonts w:hint="eastAsia" w:ascii="仿宋_GB2312" w:hAnsi="仿宋"/>
        </w:rPr>
        <w:t>鼓励、支持高等学校、科研机构加强生物多样性保护相关学科建设和人才培养，建立生物多样性保护科研基地，加强生物多样性保护科研能力建设，推进生物多样性保护与可持续利用技术研究、开发和应用，提高生物多样性保护技术水平。</w:t>
      </w:r>
    </w:p>
    <w:p>
      <w:pPr>
        <w:keepNext w:val="0"/>
        <w:keepLines w:val="0"/>
        <w:pageBreakBefore w:val="0"/>
        <w:widowControl w:val="0"/>
        <w:kinsoku/>
        <w:wordWrap/>
        <w:overflowPunct/>
        <w:bidi w:val="0"/>
        <w:adjustRightInd/>
        <w:snapToGrid/>
        <w:spacing w:line="240" w:lineRule="auto"/>
        <w:ind w:left="0" w:leftChars="0" w:firstLine="632" w:firstLineChars="200"/>
        <w:outlineLvl w:val="0"/>
        <w:rPr>
          <w:rFonts w:ascii="仿宋_GB2312" w:hAnsi="仿宋"/>
        </w:rPr>
      </w:pPr>
      <w:r>
        <w:rPr>
          <w:rFonts w:hint="eastAsia" w:ascii="黑体" w:hAnsi="黑体" w:eastAsia="黑体"/>
          <w:bCs/>
        </w:rPr>
        <w:t>第十二条</w:t>
      </w:r>
      <w:r>
        <w:rPr>
          <w:rFonts w:hint="eastAsia" w:ascii="仿宋_GB2312" w:hAnsi="仿宋_GB2312" w:eastAsia="仿宋_GB2312" w:cs="仿宋_GB2312"/>
          <w:bCs/>
          <w:lang w:eastAsia="zh-CN"/>
        </w:rPr>
        <w:t>　</w:t>
      </w:r>
      <w:r>
        <w:rPr>
          <w:rFonts w:hint="eastAsia" w:ascii="仿宋_GB2312" w:hAnsi="仿宋_GB2312" w:cs="仿宋_GB2312"/>
          <w:bCs/>
        </w:rPr>
        <w:t>省人民政府生态环境主管部门</w:t>
      </w:r>
      <w:r>
        <w:rPr>
          <w:rFonts w:hint="eastAsia" w:ascii="仿宋_GB2312" w:hAnsi="仿宋"/>
        </w:rPr>
        <w:t>应当会同发展改革、财政、自然资源、水利、农业农村</w:t>
      </w:r>
      <w:r>
        <w:rPr>
          <w:rFonts w:hint="eastAsia" w:ascii="仿宋_GB2312" w:hAnsi="仿宋_GB2312" w:cs="仿宋_GB2312"/>
        </w:rPr>
        <w:t>、</w:t>
      </w:r>
      <w:r>
        <w:rPr>
          <w:rFonts w:hint="eastAsia" w:ascii="仿宋_GB2312" w:hAnsi="仿宋"/>
        </w:rPr>
        <w:t>卫生健康等部门，编制省生物多样性保护计划，明确生物多样性保护目标、主要任务、重大工程、保障措施等，报省人民政府批准后公布实施。</w:t>
      </w:r>
    </w:p>
    <w:p>
      <w:pPr>
        <w:keepNext w:val="0"/>
        <w:keepLines w:val="0"/>
        <w:pageBreakBefore w:val="0"/>
        <w:widowControl w:val="0"/>
        <w:kinsoku/>
        <w:wordWrap/>
        <w:overflowPunct/>
        <w:bidi w:val="0"/>
        <w:adjustRightInd/>
        <w:snapToGrid/>
        <w:spacing w:line="240" w:lineRule="auto"/>
        <w:ind w:left="0" w:leftChars="0" w:firstLine="632" w:firstLineChars="200"/>
        <w:rPr>
          <w:rFonts w:ascii="仿宋_GB2312" w:hAnsi="仿宋"/>
        </w:rPr>
      </w:pPr>
      <w:r>
        <w:rPr>
          <w:rFonts w:hint="eastAsia" w:ascii="仿宋_GB2312" w:hAnsi="仿宋_GB2312" w:cs="仿宋_GB2312"/>
          <w:bCs/>
        </w:rPr>
        <w:t>设区的市</w:t>
      </w:r>
      <w:r>
        <w:rPr>
          <w:rFonts w:hint="eastAsia" w:ascii="仿宋_GB2312" w:hAnsi="仿宋"/>
        </w:rPr>
        <w:t>人民政府生态环境主管部门可以会同有关部门，根据当地实际，编制本行政区域生物多样性保护方案，报本级人民政府批准后公布实施。</w:t>
      </w:r>
    </w:p>
    <w:p>
      <w:pPr>
        <w:keepNext w:val="0"/>
        <w:keepLines w:val="0"/>
        <w:pageBreakBefore w:val="0"/>
        <w:widowControl w:val="0"/>
        <w:kinsoku/>
        <w:wordWrap/>
        <w:overflowPunct/>
        <w:bidi w:val="0"/>
        <w:adjustRightInd/>
        <w:snapToGrid/>
        <w:spacing w:line="240" w:lineRule="auto"/>
        <w:ind w:left="0" w:leftChars="0" w:firstLine="632" w:firstLineChars="200"/>
        <w:rPr>
          <w:rFonts w:ascii="仿宋_GB2312" w:hAnsi="仿宋"/>
        </w:rPr>
      </w:pPr>
      <w:r>
        <w:rPr>
          <w:rFonts w:hint="eastAsia" w:ascii="仿宋_GB2312" w:hAnsi="仿宋"/>
        </w:rPr>
        <w:t>县（市、区）人民政府及其有关部门编制区域规划、专项规划，应当符合省</w:t>
      </w:r>
      <w:r>
        <w:rPr>
          <w:rFonts w:hint="eastAsia" w:ascii="仿宋_GB2312" w:hAnsi="仿宋_GB2312" w:cs="仿宋_GB2312"/>
        </w:rPr>
        <w:t>、</w:t>
      </w:r>
      <w:r>
        <w:rPr>
          <w:rFonts w:hint="eastAsia" w:ascii="仿宋_GB2312" w:hAnsi="仿宋"/>
        </w:rPr>
        <w:t>设区的市生物多样性保护计划和方案的要求，分析、预测、评估可能对生态系统功能和生物多样性产生的影响，提出预防或者减少不良影响的对策和措施。</w:t>
      </w:r>
    </w:p>
    <w:p>
      <w:pPr>
        <w:keepNext w:val="0"/>
        <w:keepLines w:val="0"/>
        <w:pageBreakBefore w:val="0"/>
        <w:widowControl w:val="0"/>
        <w:kinsoku/>
        <w:wordWrap/>
        <w:overflowPunct/>
        <w:bidi w:val="0"/>
        <w:adjustRightInd/>
        <w:snapToGrid/>
        <w:spacing w:line="240" w:lineRule="auto"/>
        <w:ind w:left="0" w:leftChars="0" w:firstLine="632" w:firstLineChars="200"/>
        <w:outlineLvl w:val="0"/>
        <w:rPr>
          <w:rFonts w:ascii="仿宋_GB2312" w:hAnsi="仿宋"/>
        </w:rPr>
      </w:pPr>
      <w:r>
        <w:rPr>
          <w:rFonts w:hint="eastAsia" w:ascii="黑体" w:hAnsi="黑体" w:eastAsia="黑体"/>
          <w:bCs/>
        </w:rPr>
        <w:t>第十三条</w:t>
      </w:r>
      <w:r>
        <w:rPr>
          <w:rFonts w:hint="eastAsia" w:ascii="仿宋_GB2312" w:hAnsi="仿宋_GB2312" w:eastAsia="仿宋_GB2312" w:cs="仿宋_GB2312"/>
          <w:bCs/>
          <w:lang w:eastAsia="zh-CN"/>
        </w:rPr>
        <w:t>　</w:t>
      </w:r>
      <w:r>
        <w:rPr>
          <w:rFonts w:hint="eastAsia" w:ascii="仿宋_GB2312" w:hAnsi="仿宋"/>
        </w:rPr>
        <w:t>县级以上人民政府生态环境、自然资源、农业农村、卫生健康、海洋、林业等部门，应当按照职责分工定期开展生物多样性资源普查，推进生物多样性保护优先区域生态系统、重点生物物种以及重要生物遗传资源专项调查。</w:t>
      </w:r>
    </w:p>
    <w:p>
      <w:pPr>
        <w:keepNext w:val="0"/>
        <w:keepLines w:val="0"/>
        <w:pageBreakBefore w:val="0"/>
        <w:widowControl w:val="0"/>
        <w:kinsoku/>
        <w:wordWrap/>
        <w:overflowPunct/>
        <w:bidi w:val="0"/>
        <w:adjustRightInd/>
        <w:snapToGrid/>
        <w:spacing w:line="240" w:lineRule="auto"/>
        <w:ind w:left="0" w:leftChars="0" w:firstLine="632" w:firstLineChars="200"/>
        <w:rPr>
          <w:rFonts w:ascii="仿宋_GB2312" w:hAnsi="仿宋"/>
        </w:rPr>
      </w:pPr>
      <w:r>
        <w:rPr>
          <w:rFonts w:hint="eastAsia" w:ascii="仿宋_GB2312" w:hAnsi="仿宋"/>
        </w:rPr>
        <w:t>省人民政府生态环境主管部门应当会同自然资源、农业农村、住房城乡建设、卫生健康等部门，根据资源普查和调查的结果，整理和分析数据信息，建立健全生物多样性保护信息联合共享机制，实现数据共享。</w:t>
      </w:r>
    </w:p>
    <w:p>
      <w:pPr>
        <w:keepNext w:val="0"/>
        <w:keepLines w:val="0"/>
        <w:pageBreakBefore w:val="0"/>
        <w:widowControl w:val="0"/>
        <w:kinsoku/>
        <w:wordWrap/>
        <w:overflowPunct/>
        <w:bidi w:val="0"/>
        <w:adjustRightInd/>
        <w:snapToGrid/>
        <w:spacing w:line="240" w:lineRule="auto"/>
        <w:ind w:left="0" w:leftChars="0" w:firstLine="632" w:firstLineChars="200"/>
        <w:outlineLvl w:val="0"/>
        <w:rPr>
          <w:rFonts w:ascii="仿宋_GB2312" w:hAnsi="仿宋_GB2312" w:cs="仿宋_GB2312"/>
          <w:lang w:bidi="ar"/>
        </w:rPr>
      </w:pPr>
      <w:r>
        <w:rPr>
          <w:rFonts w:hint="eastAsia" w:ascii="黑体" w:hAnsi="黑体" w:eastAsia="黑体"/>
          <w:bCs/>
        </w:rPr>
        <w:t>第十四条</w:t>
      </w:r>
      <w:r>
        <w:rPr>
          <w:rFonts w:hint="eastAsia" w:ascii="仿宋_GB2312" w:hAnsi="仿宋_GB2312" w:eastAsia="仿宋_GB2312" w:cs="仿宋_GB2312"/>
          <w:bCs/>
          <w:lang w:eastAsia="zh-CN"/>
        </w:rPr>
        <w:t>　</w:t>
      </w:r>
      <w:r>
        <w:rPr>
          <w:rFonts w:hint="eastAsia" w:ascii="仿宋_GB2312" w:hAnsi="仿宋"/>
        </w:rPr>
        <w:t>省人民政府生态环境主管部门应当会同自然资源、农业农村、卫生健康等部门，建立健全</w:t>
      </w:r>
      <w:r>
        <w:rPr>
          <w:rFonts w:hint="eastAsia" w:ascii="仿宋_GB2312" w:hAnsi="仿宋_GB2312" w:cs="仿宋_GB2312"/>
          <w:lang w:bidi="ar"/>
        </w:rPr>
        <w:t>生物多样性观测监测体系，建设定位观测站和观测样区，开展生物多样性观测、监测，利用信息化手段提升监测水平和预警能力。</w:t>
      </w:r>
    </w:p>
    <w:p>
      <w:pPr>
        <w:keepNext w:val="0"/>
        <w:keepLines w:val="0"/>
        <w:pageBreakBefore w:val="0"/>
        <w:widowControl w:val="0"/>
        <w:kinsoku/>
        <w:wordWrap/>
        <w:overflowPunct/>
        <w:bidi w:val="0"/>
        <w:adjustRightInd/>
        <w:snapToGrid/>
        <w:spacing w:line="240" w:lineRule="auto"/>
        <w:ind w:left="0" w:leftChars="0" w:firstLine="632" w:firstLineChars="200"/>
        <w:outlineLvl w:val="0"/>
        <w:rPr>
          <w:rFonts w:ascii="仿宋_GB2312" w:hAnsi="仿宋"/>
        </w:rPr>
      </w:pPr>
      <w:r>
        <w:rPr>
          <w:rFonts w:hint="eastAsia" w:ascii="黑体" w:hAnsi="黑体" w:eastAsia="黑体"/>
          <w:bCs/>
        </w:rPr>
        <w:t>第十五条</w:t>
      </w:r>
      <w:r>
        <w:rPr>
          <w:rFonts w:hint="eastAsia" w:ascii="仿宋_GB2312" w:hAnsi="仿宋_GB2312" w:eastAsia="仿宋_GB2312" w:cs="仿宋_GB2312"/>
          <w:bCs/>
          <w:lang w:eastAsia="zh-CN"/>
        </w:rPr>
        <w:t>　</w:t>
      </w:r>
      <w:r>
        <w:rPr>
          <w:rFonts w:hint="eastAsia" w:ascii="仿宋_GB2312" w:hAnsi="仿宋"/>
        </w:rPr>
        <w:t>省人民政府生态环境主管部门应当会同自然资源、农业农村、卫生健康等部门，制定生物多样性评估技术规范，完善综合评估体系。</w:t>
      </w:r>
    </w:p>
    <w:p>
      <w:pPr>
        <w:keepNext w:val="0"/>
        <w:keepLines w:val="0"/>
        <w:pageBreakBefore w:val="0"/>
        <w:widowControl w:val="0"/>
        <w:kinsoku/>
        <w:wordWrap/>
        <w:overflowPunct/>
        <w:autoSpaceDE w:val="0"/>
        <w:autoSpaceDN w:val="0"/>
        <w:bidi w:val="0"/>
        <w:adjustRightInd/>
        <w:snapToGrid/>
        <w:spacing w:line="240" w:lineRule="auto"/>
        <w:ind w:left="0" w:leftChars="0" w:firstLine="632" w:firstLineChars="200"/>
        <w:rPr>
          <w:rFonts w:ascii="仿宋_GB2312" w:hAnsi="仿宋"/>
        </w:rPr>
      </w:pPr>
      <w:r>
        <w:rPr>
          <w:rFonts w:hint="eastAsia" w:ascii="仿宋_GB2312" w:hAnsi="仿宋"/>
        </w:rPr>
        <w:t>省、设区的市人民政府生态环境主管部门应当会同自然资源、农业农村、卫生健康、海洋、林业等部门，在生物多样性资源普查和调查的基础上，组织对生物多样性受威胁现状、珍稀濒危程度、</w:t>
      </w:r>
      <w:r>
        <w:rPr>
          <w:rFonts w:hint="eastAsia" w:ascii="仿宋_GB2312" w:hAnsi="仿宋"/>
          <w:color w:val="000000"/>
        </w:rPr>
        <w:t>地方原产和特有性、</w:t>
      </w:r>
      <w:r>
        <w:rPr>
          <w:rFonts w:hint="eastAsia" w:ascii="仿宋_GB2312" w:hAnsi="仿宋"/>
        </w:rPr>
        <w:t>开发利用现状、经济价值、社会价值和生态价值等定期开展综合评估，并发布相关信息。</w:t>
      </w:r>
    </w:p>
    <w:p>
      <w:pPr>
        <w:keepNext w:val="0"/>
        <w:keepLines w:val="0"/>
        <w:pageBreakBefore w:val="0"/>
        <w:widowControl w:val="0"/>
        <w:kinsoku/>
        <w:wordWrap/>
        <w:overflowPunct/>
        <w:bidi w:val="0"/>
        <w:adjustRightInd/>
        <w:snapToGrid/>
        <w:spacing w:line="240" w:lineRule="auto"/>
        <w:ind w:left="0" w:leftChars="0" w:firstLine="632" w:firstLineChars="200"/>
        <w:outlineLvl w:val="0"/>
        <w:rPr>
          <w:rFonts w:ascii="仿宋_GB2312" w:hAnsi="仿宋"/>
        </w:rPr>
      </w:pPr>
      <w:r>
        <w:rPr>
          <w:rFonts w:hint="eastAsia" w:ascii="黑体" w:hAnsi="黑体" w:eastAsia="黑体"/>
          <w:bCs/>
        </w:rPr>
        <w:t>第十六条</w:t>
      </w:r>
      <w:r>
        <w:rPr>
          <w:rFonts w:hint="eastAsia" w:ascii="仿宋_GB2312" w:hAnsi="仿宋_GB2312" w:eastAsia="仿宋_GB2312" w:cs="仿宋_GB2312"/>
          <w:bCs/>
          <w:lang w:eastAsia="zh-CN"/>
        </w:rPr>
        <w:t>　</w:t>
      </w:r>
      <w:r>
        <w:rPr>
          <w:rFonts w:hint="eastAsia" w:ascii="仿宋_GB2312" w:hAnsi="仿宋_GB2312" w:cs="仿宋_GB2312"/>
        </w:rPr>
        <w:t>省人民政府应当组织</w:t>
      </w:r>
      <w:r>
        <w:rPr>
          <w:rFonts w:hint="eastAsia" w:ascii="仿宋_GB2312" w:hAnsi="仿宋"/>
        </w:rPr>
        <w:t>生态环境、自然资源、农业农村、卫生健康等部门，根据生物多样性调查、监测、评估的结果，编制、调整本行政区域生物多样性红色名录、外来入侵物种名录，并向社会公布。</w:t>
      </w:r>
    </w:p>
    <w:p>
      <w:pPr>
        <w:pStyle w:val="8"/>
        <w:keepNext w:val="0"/>
        <w:keepLines w:val="0"/>
        <w:pageBreakBefore w:val="0"/>
        <w:widowControl w:val="0"/>
        <w:kinsoku/>
        <w:wordWrap/>
        <w:overflowPunct/>
        <w:topLinePunct/>
        <w:bidi w:val="0"/>
        <w:adjustRightInd/>
        <w:snapToGrid/>
        <w:spacing w:line="240" w:lineRule="auto"/>
        <w:ind w:left="0" w:leftChars="0" w:firstLine="632" w:firstLineChars="200"/>
        <w:outlineLvl w:val="0"/>
        <w:rPr>
          <w:rFonts w:ascii="Times New Roman" w:hAnsi="Times New Roman"/>
          <w:color w:val="000000"/>
          <w:szCs w:val="32"/>
        </w:rPr>
      </w:pPr>
      <w:r>
        <w:rPr>
          <w:rFonts w:hint="eastAsia" w:ascii="黑体" w:hAnsi="黑体" w:eastAsia="黑体"/>
          <w:bCs/>
          <w:szCs w:val="32"/>
        </w:rPr>
        <w:t>第十七</w:t>
      </w:r>
      <w:r>
        <w:rPr>
          <w:rFonts w:hint="eastAsia" w:ascii="黑体" w:hAnsi="黑体" w:eastAsia="黑体"/>
          <w:bCs/>
        </w:rPr>
        <w:t>条</w:t>
      </w:r>
      <w:r>
        <w:rPr>
          <w:rFonts w:hint="eastAsia" w:ascii="仿宋_GB2312" w:hAnsi="仿宋_GB2312" w:eastAsia="仿宋_GB2312" w:cs="仿宋_GB2312"/>
          <w:bCs/>
          <w:lang w:eastAsia="zh-CN"/>
        </w:rPr>
        <w:t>　</w:t>
      </w:r>
      <w:r>
        <w:rPr>
          <w:rFonts w:hint="eastAsia" w:ascii="仿宋_GB2312" w:hAnsi="仿宋_GB2312" w:eastAsia="仿宋_GB2312" w:cs="仿宋_GB2312"/>
          <w:color w:val="000000"/>
          <w:szCs w:val="32"/>
        </w:rPr>
        <w:t>县级以上人民政府应当组织生态环境、自然资源、水利、农业农村、海洋、林业等部门，采取有效措施，保护本行政区域内山地、河湖、森林、湿地、海洋等具有代表性的自然生态系统，实施生态系统保护工程，提升生态系统多样性、稳定性、持续性，维护生态平衡；对已退化或者遭到破坏的具有代表性和重要经济、社会价值的生态系统，优先制定修复方案，实施生物多样性保护修复工程，进行治理和恢复。</w:t>
      </w:r>
    </w:p>
    <w:p>
      <w:pPr>
        <w:pStyle w:val="8"/>
        <w:keepNext w:val="0"/>
        <w:keepLines w:val="0"/>
        <w:pageBreakBefore w:val="0"/>
        <w:widowControl w:val="0"/>
        <w:kinsoku/>
        <w:wordWrap/>
        <w:overflowPunct/>
        <w:topLinePunct/>
        <w:bidi w:val="0"/>
        <w:adjustRightInd/>
        <w:snapToGrid/>
        <w:spacing w:line="240" w:lineRule="auto"/>
        <w:ind w:left="0" w:leftChars="0" w:firstLine="632" w:firstLineChars="200"/>
        <w:outlineLvl w:val="0"/>
        <w:rPr>
          <w:rFonts w:hint="eastAsia" w:ascii="仿宋_GB2312" w:hAnsi="仿宋_GB2312" w:eastAsia="仿宋_GB2312" w:cs="仿宋_GB2312"/>
          <w:color w:val="000000"/>
          <w:szCs w:val="32"/>
        </w:rPr>
      </w:pPr>
      <w:r>
        <w:rPr>
          <w:rFonts w:hint="eastAsia" w:ascii="黑体" w:hAnsi="黑体" w:eastAsia="黑体" w:cs="黑体"/>
          <w:color w:val="000000"/>
          <w:szCs w:val="32"/>
        </w:rPr>
        <w:t>第十八</w:t>
      </w:r>
      <w:r>
        <w:rPr>
          <w:rFonts w:hint="eastAsia" w:ascii="黑体" w:hAnsi="黑体" w:eastAsia="黑体"/>
          <w:bCs/>
        </w:rPr>
        <w:t>条</w:t>
      </w:r>
      <w:r>
        <w:rPr>
          <w:rFonts w:hint="eastAsia" w:ascii="仿宋_GB2312" w:hAnsi="仿宋_GB2312" w:eastAsia="仿宋_GB2312" w:cs="仿宋_GB2312"/>
          <w:bCs/>
          <w:lang w:eastAsia="zh-CN"/>
        </w:rPr>
        <w:t>　</w:t>
      </w:r>
      <w:r>
        <w:rPr>
          <w:rFonts w:hint="eastAsia" w:ascii="仿宋_GB2312" w:hAnsi="仿宋_GB2312" w:eastAsia="仿宋_GB2312" w:cs="仿宋_GB2312"/>
          <w:color w:val="000000"/>
          <w:szCs w:val="32"/>
        </w:rPr>
        <w:t>省人民政府应当综合生态系统类型的代表性、物种丰富程度、特殊生态功能、物种珍稀濒危程度、科学研究价值等因素，划定本省生物多样性保护优先区域，并向社会公布。</w:t>
      </w:r>
    </w:p>
    <w:p>
      <w:pPr>
        <w:pStyle w:val="8"/>
        <w:keepNext w:val="0"/>
        <w:keepLines w:val="0"/>
        <w:pageBreakBefore w:val="0"/>
        <w:widowControl w:val="0"/>
        <w:kinsoku/>
        <w:wordWrap/>
        <w:overflowPunct/>
        <w:topLinePunct/>
        <w:bidi w:val="0"/>
        <w:adjustRightInd/>
        <w:snapToGrid/>
        <w:spacing w:line="240" w:lineRule="auto"/>
        <w:ind w:left="0" w:leftChars="0" w:firstLine="632" w:firstLineChars="200"/>
        <w:rPr>
          <w:rFonts w:hint="eastAsia" w:ascii="仿宋_GB2312" w:hAnsi="仿宋_GB2312" w:eastAsia="仿宋_GB2312" w:cs="仿宋_GB2312"/>
          <w:color w:val="000000"/>
          <w:szCs w:val="32"/>
          <w:lang w:bidi="ar"/>
        </w:rPr>
      </w:pPr>
      <w:r>
        <w:rPr>
          <w:rFonts w:hint="eastAsia" w:ascii="仿宋_GB2312" w:hAnsi="仿宋_GB2312" w:eastAsia="仿宋_GB2312" w:cs="仿宋_GB2312"/>
          <w:color w:val="000000"/>
          <w:szCs w:val="32"/>
          <w:lang w:bidi="ar"/>
        </w:rPr>
        <w:t>县级以上人民政府应当组织有关部门加强优先区域的生物多样性保护，实施优先区域内生物多样性保护重大工程，采取有效措施进行保护和恢复，并开展生物多样性恢复示范区和保护示范区建设。</w:t>
      </w:r>
    </w:p>
    <w:p>
      <w:pPr>
        <w:keepNext w:val="0"/>
        <w:keepLines w:val="0"/>
        <w:pageBreakBefore w:val="0"/>
        <w:widowControl w:val="0"/>
        <w:kinsoku/>
        <w:wordWrap/>
        <w:overflowPunct/>
        <w:bidi w:val="0"/>
        <w:adjustRightInd/>
        <w:snapToGrid/>
        <w:spacing w:line="240" w:lineRule="auto"/>
        <w:ind w:left="0" w:leftChars="0" w:firstLine="632" w:firstLineChars="200"/>
        <w:outlineLvl w:val="0"/>
        <w:rPr>
          <w:rFonts w:ascii="仿宋_GB2312" w:hAnsi="仿宋"/>
        </w:rPr>
      </w:pPr>
      <w:r>
        <w:rPr>
          <w:rFonts w:hint="eastAsia" w:ascii="黑体" w:hAnsi="黑体" w:eastAsia="黑体" w:cs="黑体"/>
          <w:bCs/>
        </w:rPr>
        <w:t>第十九</w:t>
      </w:r>
      <w:r>
        <w:rPr>
          <w:rFonts w:hint="eastAsia" w:ascii="黑体" w:hAnsi="黑体" w:eastAsia="黑体"/>
          <w:bCs/>
        </w:rPr>
        <w:t>条</w:t>
      </w:r>
      <w:r>
        <w:rPr>
          <w:rFonts w:hint="eastAsia" w:ascii="仿宋_GB2312" w:hAnsi="仿宋_GB2312" w:eastAsia="仿宋_GB2312" w:cs="仿宋_GB2312"/>
          <w:bCs/>
          <w:lang w:eastAsia="zh-CN"/>
        </w:rPr>
        <w:t>　</w:t>
      </w:r>
      <w:r>
        <w:rPr>
          <w:rFonts w:hint="eastAsia" w:ascii="仿宋_GB2312" w:hAnsi="仿宋_GB2312" w:cs="仿宋_GB2312"/>
          <w:bCs/>
        </w:rPr>
        <w:t>有关</w:t>
      </w:r>
      <w:r>
        <w:rPr>
          <w:rFonts w:hint="eastAsia" w:ascii="仿宋_GB2312" w:hAnsi="仿宋"/>
        </w:rPr>
        <w:t xml:space="preserve">县级以上人民政府应当采取有效措施，科学构建生态廊道，实施沿海岸带、沿黄河、沿大运河等生态保护和修复工程，保障生物栖息地的连通性。 </w:t>
      </w:r>
    </w:p>
    <w:p>
      <w:pPr>
        <w:keepNext w:val="0"/>
        <w:keepLines w:val="0"/>
        <w:pageBreakBefore w:val="0"/>
        <w:widowControl w:val="0"/>
        <w:kinsoku/>
        <w:wordWrap/>
        <w:overflowPunct/>
        <w:bidi w:val="0"/>
        <w:adjustRightInd/>
        <w:snapToGrid/>
        <w:spacing w:line="240" w:lineRule="auto"/>
        <w:ind w:left="0" w:leftChars="0" w:firstLine="632" w:firstLineChars="200"/>
        <w:outlineLvl w:val="0"/>
        <w:rPr>
          <w:rFonts w:ascii="仿宋_GB2312" w:hAnsi="仿宋"/>
        </w:rPr>
      </w:pPr>
      <w:r>
        <w:rPr>
          <w:rFonts w:hint="eastAsia" w:ascii="黑体" w:hAnsi="黑体" w:eastAsia="黑体"/>
          <w:bCs/>
        </w:rPr>
        <w:t>第二十条</w:t>
      </w:r>
      <w:r>
        <w:rPr>
          <w:rFonts w:hint="eastAsia" w:ascii="仿宋_GB2312" w:hAnsi="仿宋_GB2312" w:eastAsia="仿宋_GB2312" w:cs="仿宋_GB2312"/>
          <w:bCs/>
          <w:lang w:eastAsia="zh-CN"/>
        </w:rPr>
        <w:t>　</w:t>
      </w:r>
      <w:r>
        <w:rPr>
          <w:rFonts w:hint="eastAsia" w:ascii="仿宋_GB2312" w:hAnsi="仿宋"/>
        </w:rPr>
        <w:t>县级以上人民政府应当优化生物多样性保护空间体系，落实生态保护红线制度，加强对自然保护地和优先区域的管理，推进保护空间标准化、规范化建设，对自然生态系统、野生生物及其栖息地等予以就地保护。</w:t>
      </w:r>
    </w:p>
    <w:p>
      <w:pPr>
        <w:keepNext w:val="0"/>
        <w:keepLines w:val="0"/>
        <w:pageBreakBefore w:val="0"/>
        <w:widowControl w:val="0"/>
        <w:kinsoku/>
        <w:wordWrap/>
        <w:overflowPunct/>
        <w:bidi w:val="0"/>
        <w:adjustRightInd/>
        <w:snapToGrid/>
        <w:spacing w:line="240" w:lineRule="auto"/>
        <w:ind w:left="0" w:leftChars="0" w:firstLine="632" w:firstLineChars="200"/>
        <w:outlineLvl w:val="0"/>
        <w:rPr>
          <w:rFonts w:ascii="仿宋_GB2312" w:hAnsi="仿宋"/>
        </w:rPr>
      </w:pPr>
      <w:r>
        <w:rPr>
          <w:rFonts w:hint="eastAsia" w:ascii="黑体" w:hAnsi="黑体" w:eastAsia="黑体" w:cs="黑体"/>
          <w:bCs/>
        </w:rPr>
        <w:t>第二十一</w:t>
      </w:r>
      <w:r>
        <w:rPr>
          <w:rFonts w:hint="eastAsia" w:ascii="黑体" w:hAnsi="黑体" w:eastAsia="黑体"/>
          <w:bCs/>
        </w:rPr>
        <w:t>条</w:t>
      </w:r>
      <w:r>
        <w:rPr>
          <w:rFonts w:hint="eastAsia" w:ascii="仿宋_GB2312" w:hAnsi="仿宋_GB2312" w:eastAsia="仿宋_GB2312" w:cs="仿宋_GB2312"/>
          <w:bCs/>
          <w:lang w:eastAsia="zh-CN"/>
        </w:rPr>
        <w:t>　</w:t>
      </w:r>
      <w:r>
        <w:rPr>
          <w:rFonts w:hint="eastAsia" w:ascii="仿宋_GB2312" w:hAnsi="仿宋"/>
        </w:rPr>
        <w:t>有关县级以上人民政府应当组织生态环境、自然资源、农业农村、卫生健康、海洋、林业等部门，优化建设动植物园、濒危植物扩繁和迁地保护中心、野生动物收容救护中心和保育救助站、微生物菌种保藏中心等各类抢救性迁地保护设施，实施珍稀濒危物种拯救工程，健全迁地保护种群的档案与监测管理制度，完善迁地保存、繁育体系。</w:t>
      </w:r>
    </w:p>
    <w:p>
      <w:pPr>
        <w:keepNext w:val="0"/>
        <w:keepLines w:val="0"/>
        <w:pageBreakBefore w:val="0"/>
        <w:widowControl w:val="0"/>
        <w:kinsoku/>
        <w:wordWrap/>
        <w:overflowPunct/>
        <w:bidi w:val="0"/>
        <w:adjustRightInd/>
        <w:snapToGrid/>
        <w:spacing w:line="240" w:lineRule="auto"/>
        <w:ind w:left="0" w:leftChars="0" w:firstLine="632" w:firstLineChars="200"/>
        <w:outlineLvl w:val="0"/>
        <w:rPr>
          <w:rFonts w:ascii="仿宋_GB2312" w:hAnsi="仿宋"/>
        </w:rPr>
      </w:pPr>
      <w:r>
        <w:rPr>
          <w:rFonts w:hint="eastAsia" w:ascii="黑体" w:hAnsi="黑体" w:eastAsia="黑体" w:cs="黑体"/>
        </w:rPr>
        <w:t>第二十二</w:t>
      </w:r>
      <w:r>
        <w:rPr>
          <w:rFonts w:hint="eastAsia" w:ascii="黑体" w:hAnsi="黑体" w:eastAsia="黑体"/>
          <w:bCs/>
        </w:rPr>
        <w:t>条</w:t>
      </w:r>
      <w:r>
        <w:rPr>
          <w:rFonts w:hint="eastAsia" w:ascii="仿宋_GB2312" w:hAnsi="仿宋_GB2312" w:eastAsia="仿宋_GB2312" w:cs="仿宋_GB2312"/>
          <w:bCs/>
          <w:lang w:eastAsia="zh-CN"/>
        </w:rPr>
        <w:t>　</w:t>
      </w:r>
      <w:r>
        <w:rPr>
          <w:rFonts w:hint="eastAsia" w:ascii="仿宋_GB2312" w:hAnsi="仿宋"/>
        </w:rPr>
        <w:t>省人民政府农业农村、自然资源、卫生健康等部门，应当按照职责分工建立农作物、林草、畜禽、药用植物、水生生物、野生动植物、微生物等种质资源库。</w:t>
      </w:r>
    </w:p>
    <w:p>
      <w:pPr>
        <w:keepNext w:val="0"/>
        <w:keepLines w:val="0"/>
        <w:pageBreakBefore w:val="0"/>
        <w:widowControl w:val="0"/>
        <w:kinsoku/>
        <w:wordWrap/>
        <w:overflowPunct/>
        <w:bidi w:val="0"/>
        <w:adjustRightInd/>
        <w:snapToGrid/>
        <w:spacing w:line="240" w:lineRule="auto"/>
        <w:ind w:left="0" w:leftChars="0" w:firstLine="632" w:firstLineChars="200"/>
        <w:outlineLvl w:val="0"/>
        <w:rPr>
          <w:rFonts w:ascii="仿宋_GB2312" w:hAnsi="仿宋"/>
        </w:rPr>
      </w:pPr>
      <w:r>
        <w:rPr>
          <w:rFonts w:hint="eastAsia" w:ascii="仿宋_GB2312" w:hAnsi="仿宋"/>
        </w:rPr>
        <w:t>设区的市人民政府农业农村、自然资源、卫生健康、海洋、林业等部门可以根据需要建立种质资源库。</w:t>
      </w:r>
    </w:p>
    <w:p>
      <w:pPr>
        <w:keepNext w:val="0"/>
        <w:keepLines w:val="0"/>
        <w:pageBreakBefore w:val="0"/>
        <w:widowControl w:val="0"/>
        <w:kinsoku/>
        <w:wordWrap/>
        <w:overflowPunct/>
        <w:bidi w:val="0"/>
        <w:adjustRightInd/>
        <w:snapToGrid/>
        <w:spacing w:line="240" w:lineRule="auto"/>
        <w:ind w:left="0" w:leftChars="0" w:firstLine="632" w:firstLineChars="200"/>
        <w:outlineLvl w:val="0"/>
        <w:rPr>
          <w:rFonts w:ascii="仿宋_GB2312" w:hAnsi="仿宋_GB2312" w:cs="仿宋_GB2312"/>
        </w:rPr>
      </w:pPr>
      <w:r>
        <w:rPr>
          <w:rFonts w:hint="eastAsia" w:ascii="黑体" w:hAnsi="黑体" w:eastAsia="黑体"/>
          <w:bCs/>
        </w:rPr>
        <w:t>第二十三条</w:t>
      </w:r>
      <w:r>
        <w:rPr>
          <w:rFonts w:hint="eastAsia" w:ascii="仿宋_GB2312" w:hAnsi="仿宋_GB2312" w:eastAsia="仿宋_GB2312" w:cs="仿宋_GB2312"/>
          <w:bCs/>
          <w:lang w:eastAsia="zh-CN"/>
        </w:rPr>
        <w:t>　</w:t>
      </w:r>
      <w:r>
        <w:rPr>
          <w:rFonts w:hint="eastAsia" w:ascii="仿宋_GB2312" w:hAnsi="仿宋"/>
        </w:rPr>
        <w:t>县级以上人民政府生态环境、自然资源、农业农村、卫生健康、海洋</w:t>
      </w:r>
      <w:r>
        <w:rPr>
          <w:rFonts w:hint="eastAsia"/>
          <w:color w:val="000000"/>
        </w:rPr>
        <w:t>、林业等</w:t>
      </w:r>
      <w:r>
        <w:rPr>
          <w:rFonts w:hint="eastAsia" w:ascii="仿宋_GB2312" w:hAnsi="仿宋"/>
        </w:rPr>
        <w:t>部门，应当按照职责分工加强野生生物物种的保护，对珍稀濒危物种、极小种群物种实施抢救性保护，对</w:t>
      </w:r>
      <w:r>
        <w:rPr>
          <w:rFonts w:hint="eastAsia" w:ascii="仿宋_GB2312" w:hAnsi="仿宋_GB2312" w:cs="仿宋_GB2312"/>
        </w:rPr>
        <w:t>本行政区域内特有物种实施重点保护。</w:t>
      </w:r>
    </w:p>
    <w:p>
      <w:pPr>
        <w:keepNext w:val="0"/>
        <w:keepLines w:val="0"/>
        <w:pageBreakBefore w:val="0"/>
        <w:widowControl w:val="0"/>
        <w:kinsoku/>
        <w:wordWrap/>
        <w:overflowPunct/>
        <w:bidi w:val="0"/>
        <w:adjustRightInd/>
        <w:snapToGrid/>
        <w:spacing w:line="240" w:lineRule="auto"/>
        <w:ind w:left="0" w:leftChars="0" w:firstLine="632" w:firstLineChars="200"/>
        <w:outlineLvl w:val="0"/>
        <w:rPr>
          <w:color w:val="000000"/>
        </w:rPr>
      </w:pPr>
      <w:r>
        <w:rPr>
          <w:rFonts w:hint="eastAsia" w:ascii="黑体" w:hAnsi="黑体" w:eastAsia="黑体"/>
          <w:bCs/>
        </w:rPr>
        <w:t>第二十四条</w:t>
      </w:r>
      <w:r>
        <w:rPr>
          <w:rFonts w:hint="eastAsia" w:ascii="仿宋_GB2312" w:hAnsi="仿宋_GB2312" w:eastAsia="仿宋_GB2312" w:cs="仿宋_GB2312"/>
          <w:bCs/>
          <w:lang w:eastAsia="zh-CN"/>
        </w:rPr>
        <w:t>　</w:t>
      </w:r>
      <w:r>
        <w:rPr>
          <w:rFonts w:hint="eastAsia"/>
          <w:color w:val="000000"/>
        </w:rPr>
        <w:t>县级以上人民政府应当组织农业农村、生态环境、自然资源、卫生健康、海洋、林业等部门，开展对外来入侵物种的调查、监测、预警、控制、评估、清除等工作，完善生态风险预警和应急响应机制，依法采取必要的风险防控措施，维护生态安全。</w:t>
      </w:r>
    </w:p>
    <w:p>
      <w:pPr>
        <w:keepNext w:val="0"/>
        <w:keepLines w:val="0"/>
        <w:pageBreakBefore w:val="0"/>
        <w:widowControl w:val="0"/>
        <w:kinsoku/>
        <w:wordWrap/>
        <w:overflowPunct/>
        <w:bidi w:val="0"/>
        <w:adjustRightInd/>
        <w:snapToGrid/>
        <w:spacing w:line="240" w:lineRule="auto"/>
        <w:ind w:left="0" w:leftChars="0" w:firstLine="632" w:firstLineChars="200"/>
        <w:outlineLvl w:val="0"/>
        <w:rPr>
          <w:rFonts w:ascii="仿宋_GB2312" w:hAnsi="仿宋"/>
        </w:rPr>
      </w:pPr>
      <w:r>
        <w:rPr>
          <w:rFonts w:hint="eastAsia"/>
          <w:color w:val="000000"/>
        </w:rPr>
        <w:t>任何单位和个人未经批准，不得擅自引进、释</w:t>
      </w:r>
      <w:r>
        <w:rPr>
          <w:rFonts w:ascii="仿宋_GB2312" w:hAnsi="仿宋_GB2312" w:cs="仿宋_GB2312"/>
          <w:color w:val="000000"/>
        </w:rPr>
        <w:t>放或者丢弃</w:t>
      </w:r>
      <w:r>
        <w:rPr>
          <w:rFonts w:hint="eastAsia" w:ascii="仿宋_GB2312" w:hAnsi="仿宋"/>
        </w:rPr>
        <w:t>外来物种。</w:t>
      </w:r>
    </w:p>
    <w:p>
      <w:pPr>
        <w:keepNext w:val="0"/>
        <w:keepLines w:val="0"/>
        <w:pageBreakBefore w:val="0"/>
        <w:widowControl w:val="0"/>
        <w:kinsoku/>
        <w:wordWrap/>
        <w:overflowPunct/>
        <w:bidi w:val="0"/>
        <w:adjustRightInd/>
        <w:snapToGrid/>
        <w:spacing w:line="240" w:lineRule="auto"/>
        <w:ind w:left="0" w:leftChars="0" w:firstLine="632" w:firstLineChars="200"/>
        <w:outlineLvl w:val="0"/>
        <w:rPr>
          <w:rFonts w:ascii="仿宋_GB2312" w:hAnsi="仿宋"/>
        </w:rPr>
      </w:pPr>
      <w:r>
        <w:rPr>
          <w:rFonts w:hint="eastAsia" w:ascii="黑体" w:hAnsi="黑体" w:eastAsia="黑体"/>
          <w:bCs/>
        </w:rPr>
        <w:t>第二十五条</w:t>
      </w:r>
      <w:r>
        <w:rPr>
          <w:rFonts w:hint="eastAsia" w:ascii="仿宋_GB2312" w:hAnsi="仿宋_GB2312" w:eastAsia="仿宋_GB2312" w:cs="仿宋_GB2312"/>
          <w:bCs/>
          <w:lang w:eastAsia="zh-CN"/>
        </w:rPr>
        <w:t>　</w:t>
      </w:r>
      <w:r>
        <w:rPr>
          <w:rFonts w:hint="eastAsia" w:ascii="仿宋_GB2312" w:hAnsi="仿宋"/>
        </w:rPr>
        <w:t>县级以上人民政府生态环境、自然资源、农业农村、卫生健康、海洋</w:t>
      </w:r>
      <w:r>
        <w:rPr>
          <w:rFonts w:hint="eastAsia"/>
          <w:color w:val="000000"/>
        </w:rPr>
        <w:t>、林业等部</w:t>
      </w:r>
      <w:r>
        <w:rPr>
          <w:rFonts w:hint="eastAsia" w:ascii="仿宋_GB2312" w:hAnsi="仿宋"/>
        </w:rPr>
        <w:t>门，应当加强生物遗传资源保护，完善各类生物遗传资源保存体系的管理，规范生物遗传资源获取与利用活动。</w:t>
      </w:r>
    </w:p>
    <w:p>
      <w:pPr>
        <w:keepNext w:val="0"/>
        <w:keepLines w:val="0"/>
        <w:pageBreakBefore w:val="0"/>
        <w:widowControl w:val="0"/>
        <w:kinsoku/>
        <w:wordWrap/>
        <w:overflowPunct/>
        <w:bidi w:val="0"/>
        <w:adjustRightInd/>
        <w:snapToGrid/>
        <w:spacing w:line="240" w:lineRule="auto"/>
        <w:ind w:left="0" w:leftChars="0" w:firstLine="632" w:firstLineChars="200"/>
        <w:rPr>
          <w:rFonts w:ascii="仿宋_GB2312" w:hAnsi="仿宋"/>
        </w:rPr>
      </w:pPr>
      <w:r>
        <w:rPr>
          <w:rFonts w:hint="eastAsia" w:ascii="仿宋_GB2312" w:hAnsi="仿宋"/>
        </w:rPr>
        <w:t>县级以上人民政府农业农村、卫生健康、海洋、</w:t>
      </w:r>
      <w:r>
        <w:rPr>
          <w:rFonts w:hint="eastAsia"/>
          <w:color w:val="000000"/>
        </w:rPr>
        <w:t>林业等</w:t>
      </w:r>
      <w:r>
        <w:rPr>
          <w:rFonts w:hint="eastAsia" w:ascii="仿宋_GB2312" w:hAnsi="仿宋"/>
        </w:rPr>
        <w:t>部门应当加强转基因生物环境释放的风险评估，保障转基因生物环境释放安全。</w:t>
      </w:r>
    </w:p>
    <w:p>
      <w:pPr>
        <w:pStyle w:val="5"/>
        <w:keepNext w:val="0"/>
        <w:keepLines w:val="0"/>
        <w:pageBreakBefore w:val="0"/>
        <w:widowControl w:val="0"/>
        <w:kinsoku/>
        <w:wordWrap/>
        <w:overflowPunct/>
        <w:bidi w:val="0"/>
        <w:adjustRightInd/>
        <w:snapToGrid/>
        <w:spacing w:line="240" w:lineRule="auto"/>
        <w:ind w:left="0" w:leftChars="0" w:firstLine="632" w:firstLineChars="200"/>
        <w:rPr>
          <w:rFonts w:ascii="仿宋_GB2312" w:hAnsi="仿宋"/>
          <w:sz w:val="32"/>
          <w:szCs w:val="32"/>
        </w:rPr>
      </w:pPr>
      <w:r>
        <w:rPr>
          <w:rFonts w:hint="eastAsia" w:ascii="黑体" w:hAnsi="黑体" w:eastAsia="黑体"/>
          <w:bCs/>
          <w:sz w:val="32"/>
          <w:szCs w:val="32"/>
        </w:rPr>
        <w:t>第二十六条</w:t>
      </w:r>
      <w:r>
        <w:rPr>
          <w:rFonts w:hint="eastAsia" w:ascii="仿宋_GB2312" w:hAnsi="仿宋_GB2312" w:eastAsia="仿宋_GB2312" w:cs="仿宋_GB2312"/>
          <w:bCs/>
          <w:sz w:val="32"/>
          <w:szCs w:val="32"/>
          <w:lang w:eastAsia="zh-CN"/>
        </w:rPr>
        <w:t>　</w:t>
      </w:r>
      <w:r>
        <w:rPr>
          <w:rFonts w:hint="eastAsia" w:ascii="仿宋_GB2312" w:hAnsi="仿宋"/>
          <w:sz w:val="32"/>
          <w:szCs w:val="32"/>
        </w:rPr>
        <w:t>沿海县级以上人民政府应当采取污染防治和生态环境保护、修复等有效措施，保护滨海湿地、海岛、海湾、入海河口、重要渔业水域等具有典型性、代表性的海洋生态系统。</w:t>
      </w:r>
    </w:p>
    <w:p>
      <w:pPr>
        <w:keepNext w:val="0"/>
        <w:keepLines w:val="0"/>
        <w:pageBreakBefore w:val="0"/>
        <w:widowControl w:val="0"/>
        <w:kinsoku/>
        <w:wordWrap/>
        <w:overflowPunct/>
        <w:bidi w:val="0"/>
        <w:adjustRightInd/>
        <w:snapToGrid/>
        <w:spacing w:line="240" w:lineRule="auto"/>
        <w:ind w:left="0" w:leftChars="0" w:firstLine="632" w:firstLineChars="200"/>
        <w:rPr>
          <w:rFonts w:ascii="仿宋_GB2312" w:hAnsi="仿宋"/>
        </w:rPr>
      </w:pPr>
      <w:r>
        <w:rPr>
          <w:rFonts w:hint="eastAsia" w:ascii="仿宋_GB2312" w:hAnsi="仿宋"/>
        </w:rPr>
        <w:t>沿海县级以上人民政府生态环境、自然资源、水利、农业农村、海洋</w:t>
      </w:r>
      <w:r>
        <w:rPr>
          <w:rFonts w:hint="eastAsia" w:ascii="仿宋_GB2312" w:hAnsi="仿宋_GB2312" w:cs="仿宋_GB2312"/>
        </w:rPr>
        <w:t>、</w:t>
      </w:r>
      <w:r>
        <w:rPr>
          <w:rFonts w:hint="eastAsia"/>
          <w:color w:val="000000"/>
        </w:rPr>
        <w:t>林业等部门，</w:t>
      </w:r>
      <w:r>
        <w:rPr>
          <w:rFonts w:hint="eastAsia" w:ascii="仿宋_GB2312" w:hAnsi="仿宋"/>
        </w:rPr>
        <w:t>应当推进砂质岸线修复、潮沟疏通、植被修复恢复、底栖生物增殖、盐碱地综合治理等生态修复工程，恢复海洋生态服务功能。</w:t>
      </w:r>
    </w:p>
    <w:p>
      <w:pPr>
        <w:keepNext w:val="0"/>
        <w:keepLines w:val="0"/>
        <w:pageBreakBefore w:val="0"/>
        <w:widowControl w:val="0"/>
        <w:kinsoku/>
        <w:wordWrap/>
        <w:overflowPunct/>
        <w:bidi w:val="0"/>
        <w:adjustRightInd/>
        <w:snapToGrid/>
        <w:spacing w:line="240" w:lineRule="auto"/>
        <w:ind w:left="0" w:leftChars="0" w:firstLine="632" w:firstLineChars="200"/>
        <w:rPr>
          <w:rFonts w:ascii="仿宋_GB2312" w:hAnsi="仿宋"/>
        </w:rPr>
      </w:pPr>
      <w:r>
        <w:rPr>
          <w:rFonts w:hint="eastAsia" w:ascii="仿宋_GB2312" w:hAnsi="仿宋"/>
        </w:rPr>
        <w:t>任何单位和个人不得毁坏滨海湿地、海岸防护设施、沿海防护林、沿海城镇绿地。</w:t>
      </w:r>
    </w:p>
    <w:p>
      <w:pPr>
        <w:keepNext w:val="0"/>
        <w:keepLines w:val="0"/>
        <w:pageBreakBefore w:val="0"/>
        <w:widowControl w:val="0"/>
        <w:kinsoku/>
        <w:wordWrap/>
        <w:overflowPunct/>
        <w:bidi w:val="0"/>
        <w:adjustRightInd/>
        <w:snapToGrid/>
        <w:spacing w:line="240" w:lineRule="auto"/>
        <w:ind w:left="0" w:leftChars="0" w:firstLine="632" w:firstLineChars="200"/>
        <w:outlineLvl w:val="0"/>
        <w:rPr>
          <w:rFonts w:ascii="仿宋_GB2312" w:hAnsi="仿宋"/>
        </w:rPr>
      </w:pPr>
      <w:r>
        <w:rPr>
          <w:rFonts w:hint="eastAsia" w:ascii="黑体" w:hAnsi="黑体" w:eastAsia="黑体"/>
          <w:bCs/>
        </w:rPr>
        <w:t>第二十七条</w:t>
      </w:r>
      <w:r>
        <w:rPr>
          <w:rFonts w:hint="eastAsia" w:ascii="仿宋_GB2312" w:hAnsi="仿宋_GB2312" w:eastAsia="仿宋_GB2312" w:cs="仿宋_GB2312"/>
          <w:bCs/>
          <w:lang w:eastAsia="zh-CN"/>
        </w:rPr>
        <w:t>　</w:t>
      </w:r>
      <w:r>
        <w:rPr>
          <w:rFonts w:hint="eastAsia" w:ascii="仿宋_GB2312" w:hAnsi="仿宋_GB2312" w:cs="仿宋_GB2312"/>
          <w:bCs/>
        </w:rPr>
        <w:t>沿海</w:t>
      </w:r>
      <w:r>
        <w:rPr>
          <w:rFonts w:hint="eastAsia" w:ascii="仿宋_GB2312" w:hAnsi="仿宋"/>
        </w:rPr>
        <w:t>县级以上人民政府及其有关部门应当实施近岸水环境与水生态一体化修复，加强水生生物产卵场、索饵场、越冬场、洄游通道等重要栖息地的生态保护与修复，推进海洋生物综合保育。</w:t>
      </w:r>
    </w:p>
    <w:p>
      <w:pPr>
        <w:keepNext w:val="0"/>
        <w:keepLines w:val="0"/>
        <w:pageBreakBefore w:val="0"/>
        <w:widowControl w:val="0"/>
        <w:kinsoku/>
        <w:wordWrap/>
        <w:overflowPunct/>
        <w:bidi w:val="0"/>
        <w:adjustRightInd/>
        <w:snapToGrid/>
        <w:spacing w:line="240" w:lineRule="auto"/>
        <w:ind w:left="0" w:leftChars="0" w:firstLine="632" w:firstLineChars="200"/>
        <w:outlineLvl w:val="0"/>
        <w:rPr>
          <w:rFonts w:ascii="仿宋_GB2312" w:hAnsi="仿宋"/>
        </w:rPr>
      </w:pPr>
      <w:r>
        <w:rPr>
          <w:rFonts w:hint="eastAsia" w:ascii="黑体" w:hAnsi="黑体" w:eastAsia="黑体"/>
          <w:bCs/>
        </w:rPr>
        <w:t>第二十八条</w:t>
      </w:r>
      <w:r>
        <w:rPr>
          <w:rFonts w:hint="eastAsia" w:ascii="仿宋_GB2312" w:hAnsi="仿宋_GB2312" w:eastAsia="仿宋_GB2312" w:cs="仿宋_GB2312"/>
          <w:bCs/>
          <w:lang w:eastAsia="zh-CN"/>
        </w:rPr>
        <w:t>　</w:t>
      </w:r>
      <w:r>
        <w:rPr>
          <w:rFonts w:hint="eastAsia" w:ascii="仿宋_GB2312" w:hAnsi="仿宋"/>
        </w:rPr>
        <w:t>县级以上人民政府生态环境、自然资源、农业农村、卫生健康、海洋</w:t>
      </w:r>
      <w:r>
        <w:rPr>
          <w:rFonts w:hint="eastAsia"/>
          <w:color w:val="000000"/>
        </w:rPr>
        <w:t>、林业等</w:t>
      </w:r>
      <w:r>
        <w:rPr>
          <w:rFonts w:hint="eastAsia" w:ascii="仿宋_GB2312" w:hAnsi="仿宋"/>
        </w:rPr>
        <w:t>部门，应当加强对生物资源的发掘、整理、检测、筛选和性状评价，筛选优良生物遗传资源，推进相关生物技术在农业、林业、生物医药和生态环境等领域的应用，规范生物多样性友好型经营活动。</w:t>
      </w:r>
    </w:p>
    <w:p>
      <w:pPr>
        <w:pStyle w:val="2"/>
        <w:keepNext w:val="0"/>
        <w:keepLines w:val="0"/>
        <w:pageBreakBefore w:val="0"/>
        <w:widowControl w:val="0"/>
        <w:kinsoku/>
        <w:wordWrap/>
        <w:overflowPunct/>
        <w:bidi w:val="0"/>
        <w:adjustRightInd/>
        <w:snapToGrid/>
        <w:spacing w:after="0" w:afterLines="0" w:line="240" w:lineRule="auto"/>
        <w:ind w:left="0" w:leftChars="0" w:firstLine="632" w:firstLineChars="200"/>
        <w:rPr>
          <w:rFonts w:ascii="仿宋_GB2312" w:hAnsi="仿宋"/>
        </w:rPr>
      </w:pPr>
      <w:r>
        <w:rPr>
          <w:rFonts w:hint="eastAsia" w:ascii="黑体" w:hAnsi="黑体" w:eastAsia="黑体"/>
          <w:bCs/>
        </w:rPr>
        <w:t>第二十九条</w:t>
      </w:r>
      <w:r>
        <w:rPr>
          <w:rFonts w:hint="eastAsia" w:ascii="仿宋_GB2312" w:hAnsi="仿宋_GB2312" w:eastAsia="仿宋_GB2312" w:cs="仿宋_GB2312"/>
          <w:bCs/>
          <w:lang w:eastAsia="zh-CN"/>
        </w:rPr>
        <w:t>　</w:t>
      </w:r>
      <w:r>
        <w:rPr>
          <w:rFonts w:hint="eastAsia" w:ascii="仿宋_GB2312" w:hAnsi="仿宋"/>
        </w:rPr>
        <w:t>县级以上人民政府应当鼓励生物遗传资源应用成果的转化，推动建立生物遗传资源以及相关传统知识的获取与惠益分享制度，开展生物遗传资源以及相关传统知识的调查、登记、价值评估，</w:t>
      </w:r>
      <w:r>
        <w:rPr>
          <w:rFonts w:hint="eastAsia" w:ascii="仿宋_GB2312" w:hAnsi="仿宋_GB2312" w:cs="仿宋_GB2312"/>
        </w:rPr>
        <w:t>制定完善生物遗传资源目录，</w:t>
      </w:r>
      <w:r>
        <w:rPr>
          <w:rFonts w:hint="eastAsia" w:ascii="仿宋_GB2312" w:hAnsi="仿宋"/>
        </w:rPr>
        <w:t>保护和传承相关传统知识，促进生物遗传资源获取、开发利用、知识产权保护，实现利益共享。</w:t>
      </w:r>
    </w:p>
    <w:p>
      <w:pPr>
        <w:keepNext w:val="0"/>
        <w:keepLines w:val="0"/>
        <w:pageBreakBefore w:val="0"/>
        <w:widowControl w:val="0"/>
        <w:kinsoku/>
        <w:wordWrap/>
        <w:overflowPunct/>
        <w:bidi w:val="0"/>
        <w:adjustRightInd/>
        <w:snapToGrid/>
        <w:spacing w:line="240" w:lineRule="auto"/>
        <w:ind w:left="0" w:leftChars="0" w:firstLine="632" w:firstLineChars="200"/>
        <w:rPr>
          <w:rFonts w:ascii="仿宋_GB2312" w:hAnsi="仿宋_GB2312" w:cs="仿宋_GB2312"/>
        </w:rPr>
      </w:pPr>
      <w:r>
        <w:rPr>
          <w:rFonts w:hint="eastAsia" w:ascii="黑体" w:hAnsi="黑体" w:eastAsia="黑体" w:cs="黑体"/>
        </w:rPr>
        <w:t>第三十</w:t>
      </w:r>
      <w:r>
        <w:rPr>
          <w:rFonts w:hint="eastAsia" w:ascii="黑体" w:hAnsi="黑体" w:eastAsia="黑体"/>
          <w:bCs/>
        </w:rPr>
        <w:t>条</w:t>
      </w:r>
      <w:r>
        <w:rPr>
          <w:rFonts w:hint="eastAsia" w:ascii="仿宋_GB2312" w:hAnsi="仿宋_GB2312" w:eastAsia="仿宋_GB2312" w:cs="仿宋_GB2312"/>
          <w:bCs/>
          <w:lang w:eastAsia="zh-CN"/>
        </w:rPr>
        <w:t>　</w:t>
      </w:r>
      <w:r>
        <w:rPr>
          <w:rFonts w:hint="eastAsia" w:ascii="仿宋_GB2312" w:hAnsi="仿宋_GB2312" w:cs="仿宋_GB2312"/>
        </w:rPr>
        <w:t>省人民政府应当强化生态保护补偿资金投入，因地制宜出台生态保护补偿引导性政策和激励约束措施，推动设区的市、县（市、区）人民政府落实生态保护补偿制度，推进市场化、多元化生态保护补偿机制建设，拓宽生物多样性保护补偿资金渠道。</w:t>
      </w:r>
    </w:p>
    <w:p>
      <w:pPr>
        <w:keepNext w:val="0"/>
        <w:keepLines w:val="0"/>
        <w:pageBreakBefore w:val="0"/>
        <w:widowControl w:val="0"/>
        <w:kinsoku/>
        <w:wordWrap/>
        <w:overflowPunct/>
        <w:bidi w:val="0"/>
        <w:adjustRightInd/>
        <w:snapToGrid/>
        <w:spacing w:line="240" w:lineRule="auto"/>
        <w:ind w:left="0" w:leftChars="0" w:firstLine="632" w:firstLineChars="200"/>
        <w:outlineLvl w:val="0"/>
      </w:pPr>
      <w:r>
        <w:rPr>
          <w:rFonts w:hint="eastAsia" w:ascii="黑体" w:hAnsi="黑体" w:eastAsia="黑体"/>
          <w:bCs/>
        </w:rPr>
        <w:t>第三十一条</w:t>
      </w:r>
      <w:r>
        <w:rPr>
          <w:rFonts w:hint="eastAsia" w:ascii="仿宋_GB2312" w:hAnsi="仿宋_GB2312" w:eastAsia="仿宋_GB2312" w:cs="仿宋_GB2312"/>
          <w:bCs/>
          <w:lang w:eastAsia="zh-CN"/>
        </w:rPr>
        <w:t>　</w:t>
      </w:r>
      <w:r>
        <w:rPr>
          <w:rFonts w:hint="eastAsia" w:ascii="仿宋_GB2312" w:hAnsi="仿宋_GB2312" w:cs="仿宋_GB2312"/>
          <w:szCs w:val="40"/>
        </w:rPr>
        <w:t>违反国家规定</w:t>
      </w:r>
      <w:r>
        <w:rPr>
          <w:rFonts w:hint="eastAsia"/>
          <w:color w:val="000000"/>
        </w:rPr>
        <w:t>破坏生物多样性，</w:t>
      </w:r>
      <w:r>
        <w:fldChar w:fldCharType="begin"/>
      </w:r>
      <w:r>
        <w:instrText xml:space="preserve"> HYPERLINK "https://www.pkulaw.com/chl/c15d7b2dd4e65366bdfb.html?keyword=%E7%94%9F%E6%80%81%E7%8E%AF%E5%A2%83%E6%8D%9F%E5%AE%B3" \t "_blank" </w:instrText>
      </w:r>
      <w:r>
        <w:fldChar w:fldCharType="separate"/>
      </w:r>
      <w:r>
        <w:rPr>
          <w:rFonts w:hint="eastAsia"/>
          <w:color w:val="000000"/>
        </w:rPr>
        <w:t>造成生态环境损害的，国家规定的机关或者法律规定的组织有权请求侵权人承担修复责任、赔偿损失和相关费用。</w:t>
      </w:r>
      <w:r>
        <w:rPr>
          <w:rFonts w:hint="eastAsia"/>
          <w:color w:val="000000"/>
        </w:rPr>
        <w:fldChar w:fldCharType="end"/>
      </w:r>
    </w:p>
    <w:p>
      <w:pPr>
        <w:keepNext w:val="0"/>
        <w:keepLines w:val="0"/>
        <w:pageBreakBefore w:val="0"/>
        <w:widowControl w:val="0"/>
        <w:kinsoku/>
        <w:wordWrap/>
        <w:overflowPunct/>
        <w:bidi w:val="0"/>
        <w:adjustRightInd/>
        <w:snapToGrid/>
        <w:spacing w:line="240" w:lineRule="auto"/>
        <w:ind w:left="0" w:leftChars="0" w:firstLine="632" w:firstLineChars="200"/>
        <w:outlineLvl w:val="0"/>
        <w:rPr>
          <w:rFonts w:ascii="仿宋_GB2312" w:hAnsi="仿宋"/>
        </w:rPr>
      </w:pPr>
      <w:r>
        <w:rPr>
          <w:rFonts w:hint="eastAsia" w:ascii="黑体" w:hAnsi="黑体" w:eastAsia="黑体"/>
          <w:bCs/>
        </w:rPr>
        <w:t>第三十二条</w:t>
      </w:r>
      <w:r>
        <w:rPr>
          <w:rFonts w:hint="eastAsia" w:ascii="仿宋_GB2312" w:hAnsi="仿宋_GB2312" w:eastAsia="仿宋_GB2312" w:cs="仿宋_GB2312"/>
          <w:bCs/>
          <w:lang w:eastAsia="zh-CN"/>
        </w:rPr>
        <w:t>　</w:t>
      </w:r>
      <w:r>
        <w:rPr>
          <w:rFonts w:hint="eastAsia" w:ascii="仿宋_GB2312" w:hAnsi="黑体"/>
        </w:rPr>
        <w:t>违反本条例规定，</w:t>
      </w:r>
      <w:r>
        <w:rPr>
          <w:rFonts w:hint="eastAsia" w:ascii="仿宋_GB2312" w:hAnsi="仿宋"/>
        </w:rPr>
        <w:t>有关部门在生物多样性保护、利用、管理工作中，</w:t>
      </w:r>
      <w:r>
        <w:rPr>
          <w:rFonts w:hint="eastAsia" w:ascii="仿宋_GB2312" w:hAnsi="黑体"/>
        </w:rPr>
        <w:t>滥用职权、玩忽职守、徇私舞弊的，</w:t>
      </w:r>
      <w:r>
        <w:rPr>
          <w:rFonts w:hint="eastAsia" w:ascii="仿宋_GB2312" w:hAnsi="仿宋"/>
        </w:rPr>
        <w:t>对直接负责的主管人员和其他直接责任人员依法给予处分；构成犯罪的，依法追究刑事责任。</w:t>
      </w:r>
    </w:p>
    <w:p>
      <w:pPr>
        <w:keepNext w:val="0"/>
        <w:keepLines w:val="0"/>
        <w:pageBreakBefore w:val="0"/>
        <w:widowControl w:val="0"/>
        <w:kinsoku/>
        <w:wordWrap/>
        <w:overflowPunct/>
        <w:bidi w:val="0"/>
        <w:adjustRightInd/>
        <w:snapToGrid/>
        <w:spacing w:line="240" w:lineRule="auto"/>
        <w:ind w:left="0" w:leftChars="0" w:firstLine="632" w:firstLineChars="200"/>
        <w:outlineLvl w:val="0"/>
        <w:rPr>
          <w:rFonts w:ascii="仿宋_GB2312" w:hAnsi="仿宋"/>
        </w:rPr>
      </w:pPr>
      <w:r>
        <w:rPr>
          <w:rFonts w:hint="eastAsia" w:ascii="仿宋_GB2312" w:hAnsi="仿宋"/>
        </w:rPr>
        <w:t>违反本条例规定的其他行为，依照有关法律、法规的规定予以处理。</w:t>
      </w:r>
    </w:p>
    <w:p>
      <w:pPr>
        <w:keepNext w:val="0"/>
        <w:keepLines w:val="0"/>
        <w:pageBreakBefore w:val="0"/>
        <w:widowControl w:val="0"/>
        <w:kinsoku/>
        <w:wordWrap/>
        <w:overflowPunct/>
        <w:bidi w:val="0"/>
        <w:adjustRightInd/>
        <w:snapToGrid/>
        <w:spacing w:line="240" w:lineRule="auto"/>
        <w:ind w:left="0" w:leftChars="0" w:firstLine="632" w:firstLineChars="200"/>
        <w:outlineLvl w:val="0"/>
        <w:rPr>
          <w:rFonts w:hint="eastAsia"/>
          <w:lang w:val="en-US" w:eastAsia="zh-CN"/>
        </w:rPr>
      </w:pPr>
      <w:r>
        <w:rPr>
          <w:rFonts w:hint="eastAsia" w:ascii="黑体" w:hAnsi="黑体" w:eastAsia="黑体"/>
          <w:bCs/>
        </w:rPr>
        <w:t>第三十三条</w:t>
      </w:r>
      <w:r>
        <w:rPr>
          <w:rFonts w:hint="eastAsia" w:ascii="仿宋_GB2312" w:hAnsi="仿宋_GB2312" w:eastAsia="仿宋_GB2312" w:cs="仿宋_GB2312"/>
          <w:bCs/>
          <w:lang w:eastAsia="zh-CN"/>
        </w:rPr>
        <w:t>　</w:t>
      </w:r>
      <w:r>
        <w:rPr>
          <w:rFonts w:hint="eastAsia" w:ascii="仿宋_GB2312" w:hAnsi="仿宋"/>
        </w:rPr>
        <w:t>本条例</w:t>
      </w:r>
      <w:r>
        <w:rPr>
          <w:rFonts w:hint="default" w:ascii="Times New Roman" w:hAnsi="Times New Roman" w:cs="Times New Roman"/>
        </w:rPr>
        <w:t>自2024年1月1日起</w:t>
      </w:r>
      <w:r>
        <w:rPr>
          <w:rFonts w:hint="eastAsia" w:ascii="仿宋_GB2312" w:hAnsi="仿宋"/>
        </w:rPr>
        <w:t>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文鼎CS仿宋体">
    <w:altName w:val="仿宋"/>
    <w:panose1 w:val="00000000000000000000"/>
    <w:charset w:val="00"/>
    <w:family w:val="auto"/>
    <w:pitch w:val="default"/>
    <w:sig w:usb0="00000000" w:usb1="00000000" w:usb2="00000000" w:usb3="00000000" w:csb0="00040001" w:csb1="00000000"/>
  </w:font>
  <w:font w:name="等线">
    <w:altName w:val="宋体"/>
    <w:panose1 w:val="02010600030101010101"/>
    <w:charset w:val="86"/>
    <w:family w:val="auto"/>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方正仿宋_GBK">
    <w:altName w:val="微软雅黑"/>
    <w:panose1 w:val="02000000000000000000"/>
    <w:charset w:val="86"/>
    <w:family w:val="script"/>
    <w:pitch w:val="default"/>
    <w:sig w:usb0="00000000" w:usb1="00000000" w:usb2="00000000" w:usb3="00000000" w:csb0="00040000" w:csb1="00000000"/>
  </w:font>
  <w:font w:name="方正小标宋_GBK">
    <w:altName w:val="微软雅黑"/>
    <w:panose1 w:val="00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华文仿宋">
    <w:altName w:val="仿宋"/>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xMzQyM2ZjZmQxZmViNWE5ZWY0YWMwZGE0ZmQxNT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431638"/>
    <w:rsid w:val="02283016"/>
    <w:rsid w:val="04FD0162"/>
    <w:rsid w:val="05EC77B6"/>
    <w:rsid w:val="086E1AA3"/>
    <w:rsid w:val="08A8306C"/>
    <w:rsid w:val="09104908"/>
    <w:rsid w:val="09A34AE0"/>
    <w:rsid w:val="0A0C3321"/>
    <w:rsid w:val="0AB94B2B"/>
    <w:rsid w:val="0C864A27"/>
    <w:rsid w:val="0C871385"/>
    <w:rsid w:val="0D6D59C4"/>
    <w:rsid w:val="0D9804AC"/>
    <w:rsid w:val="0E373BA8"/>
    <w:rsid w:val="0EE24651"/>
    <w:rsid w:val="0F340C24"/>
    <w:rsid w:val="1006130B"/>
    <w:rsid w:val="13337596"/>
    <w:rsid w:val="137C0231"/>
    <w:rsid w:val="148D3460"/>
    <w:rsid w:val="17917892"/>
    <w:rsid w:val="1971007E"/>
    <w:rsid w:val="1E392E5E"/>
    <w:rsid w:val="1EAA58D6"/>
    <w:rsid w:val="23691BCC"/>
    <w:rsid w:val="252135B1"/>
    <w:rsid w:val="297E3F2C"/>
    <w:rsid w:val="2AAE3A07"/>
    <w:rsid w:val="2B8A330C"/>
    <w:rsid w:val="2DD75A85"/>
    <w:rsid w:val="2E8A4B45"/>
    <w:rsid w:val="2E8C1CE8"/>
    <w:rsid w:val="31496CF2"/>
    <w:rsid w:val="3172765E"/>
    <w:rsid w:val="31884B4B"/>
    <w:rsid w:val="346D235F"/>
    <w:rsid w:val="350B11A5"/>
    <w:rsid w:val="376115B0"/>
    <w:rsid w:val="38512365"/>
    <w:rsid w:val="38740160"/>
    <w:rsid w:val="39683767"/>
    <w:rsid w:val="39810D86"/>
    <w:rsid w:val="3A1C4F00"/>
    <w:rsid w:val="3B0C034B"/>
    <w:rsid w:val="3DE63740"/>
    <w:rsid w:val="411D3E3F"/>
    <w:rsid w:val="418C651A"/>
    <w:rsid w:val="42E767B1"/>
    <w:rsid w:val="444D40D2"/>
    <w:rsid w:val="45933E22"/>
    <w:rsid w:val="459613CA"/>
    <w:rsid w:val="45CA5863"/>
    <w:rsid w:val="46F47B69"/>
    <w:rsid w:val="481351D2"/>
    <w:rsid w:val="4A934476"/>
    <w:rsid w:val="4B4475D2"/>
    <w:rsid w:val="4F314DBC"/>
    <w:rsid w:val="53543565"/>
    <w:rsid w:val="5472078A"/>
    <w:rsid w:val="558A062C"/>
    <w:rsid w:val="569B30F9"/>
    <w:rsid w:val="5AB7769D"/>
    <w:rsid w:val="5BC029D3"/>
    <w:rsid w:val="5C3D0AD3"/>
    <w:rsid w:val="5DCC6BE8"/>
    <w:rsid w:val="5E9616EF"/>
    <w:rsid w:val="5F092B01"/>
    <w:rsid w:val="5F54450D"/>
    <w:rsid w:val="5F9916B2"/>
    <w:rsid w:val="5FEC6B22"/>
    <w:rsid w:val="60443A75"/>
    <w:rsid w:val="61F335F4"/>
    <w:rsid w:val="622F12CF"/>
    <w:rsid w:val="6A486BD3"/>
    <w:rsid w:val="6D560EAF"/>
    <w:rsid w:val="6DFD1A54"/>
    <w:rsid w:val="6FB1113D"/>
    <w:rsid w:val="74BF36BB"/>
    <w:rsid w:val="77571EA6"/>
    <w:rsid w:val="775E649E"/>
    <w:rsid w:val="79971279"/>
    <w:rsid w:val="7B2F514A"/>
    <w:rsid w:val="7E6762C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nhideWhenUsed="0" w:uiPriority="0" w:semiHidden="0" w:name="toc 2"/>
    <w:lsdException w:qFormat="1" w:unhideWhenUsed="0" w:uiPriority="0" w:semiHidden="0" w:name="toc 3"/>
    <w:lsdException w:uiPriority="39" w:name="toc 4"/>
    <w:lsdException w:qFormat="1" w:unhideWhenUsed="0" w:uiPriority="99" w:semiHidden="0"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qFormat="1" w:unhideWhenUsed="0" w:uiPriority="99"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link w:val="28"/>
    <w:qFormat/>
    <w:uiPriority w:val="0"/>
    <w:pPr>
      <w:spacing w:before="100" w:beforeAutospacing="1" w:after="100" w:afterAutospacing="1"/>
      <w:jc w:val="left"/>
      <w:outlineLvl w:val="0"/>
    </w:pPr>
    <w:rPr>
      <w:rFonts w:hint="eastAsia" w:ascii="宋体" w:hAnsi="宋体" w:eastAsia="黑体"/>
      <w:bCs/>
      <w:kern w:val="44"/>
      <w:szCs w:val="48"/>
    </w:rPr>
  </w:style>
  <w:style w:type="character" w:default="1" w:styleId="18">
    <w:name w:val="Default Paragraph Font"/>
    <w:unhideWhenUsed/>
    <w:qFormat/>
    <w:uiPriority w:val="1"/>
  </w:style>
  <w:style w:type="table" w:default="1" w:styleId="17">
    <w:name w:val="Normal Table"/>
    <w:unhideWhenUsed/>
    <w:qFormat/>
    <w:uiPriority w:val="99"/>
    <w:tblPr>
      <w:tblCellMar>
        <w:top w:w="0" w:type="dxa"/>
        <w:left w:w="108" w:type="dxa"/>
        <w:bottom w:w="0" w:type="dxa"/>
        <w:right w:w="108" w:type="dxa"/>
      </w:tblCellMar>
    </w:tblPr>
  </w:style>
  <w:style w:type="paragraph" w:styleId="2">
    <w:name w:val="Body Text Indent"/>
    <w:basedOn w:val="1"/>
    <w:next w:val="1"/>
    <w:qFormat/>
    <w:uiPriority w:val="0"/>
    <w:pPr>
      <w:spacing w:after="120" w:afterLines="0" w:afterAutospacing="0"/>
      <w:ind w:left="420" w:leftChars="200"/>
    </w:pPr>
  </w:style>
  <w:style w:type="paragraph" w:styleId="4">
    <w:name w:val="Normal Indent"/>
    <w:basedOn w:val="1"/>
    <w:next w:val="1"/>
    <w:qFormat/>
    <w:uiPriority w:val="0"/>
    <w:pPr>
      <w:widowControl w:val="0"/>
      <w:ind w:firstLine="680"/>
      <w:jc w:val="both"/>
    </w:pPr>
    <w:rPr>
      <w:rFonts w:ascii="Calibri" w:hAnsi="Calibri" w:eastAsia="文鼎CS仿宋体" w:cs="Arial"/>
      <w:kern w:val="2"/>
      <w:sz w:val="32"/>
      <w:szCs w:val="32"/>
      <w:lang w:val="en-US" w:eastAsia="zh-CN" w:bidi="ar-SA"/>
    </w:rPr>
  </w:style>
  <w:style w:type="paragraph" w:styleId="5">
    <w:name w:val="Body Text"/>
    <w:basedOn w:val="1"/>
    <w:next w:val="6"/>
    <w:qFormat/>
    <w:uiPriority w:val="0"/>
    <w:rPr>
      <w:sz w:val="28"/>
      <w:szCs w:val="20"/>
    </w:rPr>
  </w:style>
  <w:style w:type="paragraph" w:styleId="6">
    <w:name w:val="toc 5"/>
    <w:basedOn w:val="1"/>
    <w:next w:val="1"/>
    <w:qFormat/>
    <w:uiPriority w:val="99"/>
    <w:pPr>
      <w:ind w:left="1680" w:leftChars="800"/>
    </w:pPr>
  </w:style>
  <w:style w:type="paragraph" w:styleId="7">
    <w:name w:val="toc 3"/>
    <w:basedOn w:val="1"/>
    <w:next w:val="1"/>
    <w:qFormat/>
    <w:uiPriority w:val="0"/>
    <w:pPr>
      <w:ind w:left="420"/>
    </w:pPr>
    <w:rPr>
      <w:rFonts w:ascii="等线" w:eastAsia="等线"/>
      <w:b/>
      <w:sz w:val="30"/>
      <w:szCs w:val="30"/>
    </w:rPr>
  </w:style>
  <w:style w:type="paragraph" w:styleId="8">
    <w:name w:val="Plain Text"/>
    <w:basedOn w:val="1"/>
    <w:qFormat/>
    <w:uiPriority w:val="0"/>
    <w:rPr>
      <w:rFonts w:ascii="宋体" w:hAnsi="Times New Roman" w:eastAsia="宋体" w:cs="Courier New"/>
      <w:szCs w:val="21"/>
    </w:rPr>
  </w:style>
  <w:style w:type="paragraph" w:styleId="9">
    <w:name w:val="Date"/>
    <w:basedOn w:val="1"/>
    <w:next w:val="1"/>
    <w:qFormat/>
    <w:uiPriority w:val="0"/>
    <w:pPr>
      <w:ind w:left="100" w:leftChars="2500"/>
    </w:pPr>
  </w:style>
  <w:style w:type="paragraph" w:styleId="10">
    <w:name w:val="Body Text Indent 2"/>
    <w:basedOn w:val="1"/>
    <w:qFormat/>
    <w:uiPriority w:val="0"/>
    <w:pPr>
      <w:spacing w:after="120" w:afterLines="0" w:line="480" w:lineRule="auto"/>
      <w:ind w:left="420" w:leftChars="200"/>
    </w:pPr>
  </w:style>
  <w:style w:type="paragraph" w:styleId="11">
    <w:name w:val="Balloon Text"/>
    <w:basedOn w:val="1"/>
    <w:qFormat/>
    <w:uiPriority w:val="0"/>
    <w:rPr>
      <w:sz w:val="18"/>
      <w:szCs w:val="18"/>
    </w:rPr>
  </w:style>
  <w:style w:type="paragraph" w:styleId="12">
    <w:name w:val="footer"/>
    <w:basedOn w:val="1"/>
    <w:next w:val="1"/>
    <w:link w:val="23"/>
    <w:unhideWhenUsed/>
    <w:qFormat/>
    <w:uiPriority w:val="99"/>
    <w:pPr>
      <w:tabs>
        <w:tab w:val="center" w:pos="4153"/>
        <w:tab w:val="right" w:pos="8306"/>
      </w:tabs>
      <w:snapToGrid w:val="0"/>
      <w:jc w:val="left"/>
    </w:pPr>
    <w:rPr>
      <w:sz w:val="18"/>
      <w:szCs w:val="18"/>
    </w:rPr>
  </w:style>
  <w:style w:type="paragraph" w:styleId="13">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2"/>
    <w:basedOn w:val="1"/>
    <w:next w:val="1"/>
    <w:qFormat/>
    <w:uiPriority w:val="0"/>
    <w:pPr>
      <w:ind w:left="200" w:leftChars="200"/>
    </w:pPr>
  </w:style>
  <w:style w:type="paragraph" w:styleId="15">
    <w:name w:val="Body Text First Indent"/>
    <w:basedOn w:val="5"/>
    <w:qFormat/>
    <w:uiPriority w:val="99"/>
    <w:pPr>
      <w:ind w:firstLine="420" w:firstLineChars="100"/>
    </w:pPr>
  </w:style>
  <w:style w:type="paragraph" w:styleId="16">
    <w:name w:val="Body Text First Indent 2"/>
    <w:basedOn w:val="2"/>
    <w:qFormat/>
    <w:uiPriority w:val="0"/>
    <w:pPr>
      <w:ind w:firstLine="420" w:firstLineChars="200"/>
    </w:pPr>
  </w:style>
  <w:style w:type="character" w:styleId="19">
    <w:name w:val="page number"/>
    <w:basedOn w:val="18"/>
    <w:qFormat/>
    <w:uiPriority w:val="0"/>
  </w:style>
  <w:style w:type="character" w:styleId="20">
    <w:name w:val="FollowedHyperlink"/>
    <w:unhideWhenUsed/>
    <w:qFormat/>
    <w:uiPriority w:val="99"/>
    <w:rPr>
      <w:color w:val="954F72"/>
      <w:u w:val="single"/>
    </w:rPr>
  </w:style>
  <w:style w:type="character" w:styleId="21">
    <w:name w:val="Hyperlink"/>
    <w:qFormat/>
    <w:uiPriority w:val="99"/>
    <w:rPr>
      <w:rFonts w:hint="default" w:ascii="ˎ̥" w:hAnsi="ˎ̥"/>
      <w:color w:val="0404B3"/>
      <w:sz w:val="18"/>
      <w:szCs w:val="18"/>
      <w:u w:val="none"/>
    </w:rPr>
  </w:style>
  <w:style w:type="paragraph" w:customStyle="1" w:styleId="22">
    <w:name w:val="纯文本1"/>
    <w:basedOn w:val="1"/>
    <w:qFormat/>
    <w:uiPriority w:val="0"/>
    <w:rPr>
      <w:rFonts w:ascii="宋体" w:hAnsi="Courier New" w:cs="Courier New"/>
      <w:szCs w:val="21"/>
    </w:rPr>
  </w:style>
  <w:style w:type="character" w:customStyle="1" w:styleId="23">
    <w:name w:val="页脚 字符"/>
    <w:link w:val="12"/>
    <w:qFormat/>
    <w:uiPriority w:val="99"/>
    <w:rPr>
      <w:sz w:val="18"/>
      <w:szCs w:val="18"/>
    </w:rPr>
  </w:style>
  <w:style w:type="character" w:customStyle="1" w:styleId="24">
    <w:name w:val="页眉 字符"/>
    <w:link w:val="13"/>
    <w:qFormat/>
    <w:uiPriority w:val="99"/>
    <w:rPr>
      <w:sz w:val="18"/>
      <w:szCs w:val="18"/>
    </w:rPr>
  </w:style>
  <w:style w:type="paragraph" w:customStyle="1" w:styleId="25">
    <w:name w:val="页眉1"/>
    <w:basedOn w:val="1"/>
    <w:qFormat/>
    <w:uiPriority w:val="99"/>
    <w:pPr>
      <w:pBdr>
        <w:bottom w:val="single" w:color="auto" w:sz="6" w:space="1"/>
      </w:pBdr>
      <w:tabs>
        <w:tab w:val="center" w:pos="4153"/>
        <w:tab w:val="right" w:pos="8306"/>
      </w:tabs>
      <w:snapToGrid w:val="0"/>
      <w:jc w:val="center"/>
    </w:pPr>
    <w:rPr>
      <w:sz w:val="18"/>
      <w:szCs w:val="18"/>
    </w:rPr>
  </w:style>
  <w:style w:type="paragraph" w:customStyle="1" w:styleId="26">
    <w:name w:val="页脚1"/>
    <w:basedOn w:val="1"/>
    <w:qFormat/>
    <w:uiPriority w:val="99"/>
    <w:pPr>
      <w:tabs>
        <w:tab w:val="center" w:pos="4153"/>
        <w:tab w:val="right" w:pos="8306"/>
      </w:tabs>
      <w:snapToGrid w:val="0"/>
      <w:jc w:val="left"/>
    </w:pPr>
    <w:rPr>
      <w:sz w:val="18"/>
      <w:szCs w:val="18"/>
    </w:rPr>
  </w:style>
  <w:style w:type="paragraph" w:customStyle="1" w:styleId="27">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28">
    <w:name w:val="标题 1 字符"/>
    <w:link w:val="3"/>
    <w:qFormat/>
    <w:uiPriority w:val="0"/>
    <w:rPr>
      <w:rFonts w:hint="eastAsia" w:ascii="宋体" w:hAnsi="宋体" w:eastAsia="黑体"/>
      <w:bCs/>
      <w:kern w:val="44"/>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4748</Words>
  <Characters>4755</Characters>
  <Lines>1</Lines>
  <Paragraphs>1</Paragraphs>
  <TotalTime>4</TotalTime>
  <ScaleCrop>false</ScaleCrop>
  <LinksUpToDate>false</LinksUpToDate>
  <CharactersWithSpaces>4791</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2024-01-01T12:11:30Z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9A45FE8D40CE49678429622726EC6117_13</vt:lpwstr>
  </property>
  <property fmtid="{D5CDD505-2E9C-101B-9397-08002B2CF9AE}" pid="3" name="KSOProductBuildVer">
    <vt:lpwstr>2052-12.1.0.15946</vt:lpwstr>
  </property>
</Properties>
</file>