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tabs>
          <w:tab w:val="left" w:pos="709"/>
          <w:tab w:val="left" w:pos="8222"/>
        </w:tabs>
        <w:spacing w:line="560" w:lineRule="exact"/>
        <w:rPr>
          <w:lang w:bidi="ar"/>
        </w:rPr>
      </w:pPr>
    </w:p>
    <w:p>
      <w:pPr>
        <w:overflowPunct w:val="0"/>
        <w:adjustRightInd w:val="0"/>
        <w:snapToGrid w:val="0"/>
        <w:spacing w:line="570" w:lineRule="exact"/>
        <w:contextualSpacing/>
        <w:jc w:val="center"/>
        <w:rPr>
          <w:rFonts w:ascii="宋体" w:hAnsi="宋体" w:eastAsia="宋体" w:cs="方正小标宋简体"/>
          <w:sz w:val="44"/>
          <w:szCs w:val="44"/>
          <w:lang w:bidi="ar"/>
        </w:rPr>
      </w:pPr>
      <w:r>
        <w:rPr>
          <w:rFonts w:hint="eastAsia" w:ascii="宋体" w:hAnsi="宋体" w:eastAsia="宋体" w:cs="方正小标宋简体"/>
          <w:sz w:val="44"/>
          <w:szCs w:val="44"/>
          <w:lang w:bidi="ar"/>
        </w:rPr>
        <w:t>山东省知识产权保护和促进条例</w:t>
      </w:r>
    </w:p>
    <w:p>
      <w:pPr>
        <w:spacing w:line="500" w:lineRule="exact"/>
        <w:jc w:val="center"/>
        <w:rPr>
          <w:rFonts w:ascii="楷体_GB2312" w:hAnsi="宋体" w:eastAsia="楷体_GB2312" w:cs="宋体"/>
          <w:bCs/>
        </w:rPr>
      </w:pPr>
      <w:r>
        <w:rPr>
          <w:rFonts w:hint="eastAsia" w:ascii="黑体" w:hAnsi="宋体" w:eastAsia="黑体" w:cs="黑体"/>
          <w:sz w:val="30"/>
          <w:szCs w:val="30"/>
          <w:lang w:bidi="ar"/>
        </w:rPr>
        <w:t xml:space="preserve">  </w:t>
      </w:r>
    </w:p>
    <w:p>
      <w:pPr>
        <w:spacing w:line="580" w:lineRule="exact"/>
        <w:ind w:firstLine="640" w:firstLineChars="200"/>
        <w:rPr>
          <w:rFonts w:ascii="楷体_GB2312" w:hAnsi="宋体" w:eastAsia="楷体_GB2312" w:cs="宋体"/>
          <w:bCs/>
        </w:rPr>
      </w:pPr>
      <w:r>
        <w:rPr>
          <w:rFonts w:hint="eastAsia" w:ascii="楷体_GB2312" w:hAnsi="宋体" w:eastAsia="楷体_GB2312" w:cs="宋体"/>
          <w:bCs/>
        </w:rPr>
        <w:t>（2022年3月30日山东省第十三届人民代表大会常务</w:t>
      </w:r>
    </w:p>
    <w:p>
      <w:pPr>
        <w:tabs>
          <w:tab w:val="left" w:pos="8222"/>
        </w:tabs>
        <w:spacing w:line="580" w:lineRule="exact"/>
        <w:ind w:firstLine="640" w:firstLineChars="200"/>
        <w:rPr>
          <w:rFonts w:ascii="楷体_GB2312" w:hAnsi="宋体" w:eastAsia="楷体_GB2312" w:cs="宋体"/>
          <w:bCs/>
        </w:rPr>
      </w:pPr>
      <w:r>
        <w:rPr>
          <w:rFonts w:hint="eastAsia" w:ascii="楷体_GB2312" w:hAnsi="宋体" w:eastAsia="楷体_GB2312" w:cs="宋体"/>
          <w:bCs/>
        </w:rPr>
        <w:t>委员会第三十四次会议通）</w:t>
      </w:r>
    </w:p>
    <w:p>
      <w:pPr>
        <w:overflowPunct w:val="0"/>
        <w:adjustRightInd w:val="0"/>
        <w:snapToGrid w:val="0"/>
        <w:spacing w:line="570" w:lineRule="exact"/>
        <w:contextualSpacing/>
        <w:rPr>
          <w:rFonts w:ascii="黑体" w:hAnsi="宋体" w:eastAsia="黑体" w:cs="黑体"/>
          <w:sz w:val="30"/>
          <w:szCs w:val="30"/>
          <w:lang w:bidi="ar"/>
        </w:rPr>
      </w:pPr>
    </w:p>
    <w:p>
      <w:pPr>
        <w:overflowPunct w:val="0"/>
        <w:adjustRightInd w:val="0"/>
        <w:snapToGrid w:val="0"/>
        <w:spacing w:line="560" w:lineRule="exact"/>
        <w:contextualSpacing/>
        <w:jc w:val="center"/>
        <w:rPr>
          <w:rFonts w:ascii="楷体_GB2312" w:hAnsi="宋体" w:eastAsia="楷体_GB2312" w:cs="黑体"/>
          <w:lang w:bidi="ar"/>
        </w:rPr>
      </w:pPr>
      <w:r>
        <w:rPr>
          <w:rFonts w:hint="eastAsia" w:ascii="楷体_GB2312" w:hAnsi="宋体" w:eastAsia="楷体_GB2312" w:cs="黑体"/>
          <w:lang w:bidi="ar"/>
        </w:rPr>
        <w:t>目  录</w:t>
      </w:r>
    </w:p>
    <w:p>
      <w:pPr>
        <w:overflowPunct w:val="0"/>
        <w:adjustRightInd w:val="0"/>
        <w:snapToGrid w:val="0"/>
        <w:spacing w:line="560" w:lineRule="exact"/>
        <w:ind w:firstLine="640" w:firstLineChars="200"/>
        <w:contextualSpacing/>
        <w:jc w:val="left"/>
        <w:rPr>
          <w:rFonts w:ascii="楷体" w:hAnsi="楷体" w:eastAsia="楷体" w:cs="仿宋_GB2312"/>
        </w:rPr>
      </w:pPr>
      <w:r>
        <w:rPr>
          <w:rFonts w:hint="eastAsia" w:ascii="楷体" w:hAnsi="楷体" w:eastAsia="楷体" w:cs="楷体"/>
          <w:lang w:bidi="ar"/>
        </w:rPr>
        <w:t>第一章</w:t>
      </w:r>
      <w:r>
        <w:rPr>
          <w:rFonts w:hint="eastAsia" w:ascii="楷体" w:hAnsi="楷体" w:eastAsia="楷体" w:cs="仿宋_GB2312"/>
          <w:lang w:bidi="ar"/>
        </w:rPr>
        <w:t xml:space="preserve">  </w:t>
      </w:r>
      <w:r>
        <w:rPr>
          <w:rFonts w:hint="eastAsia" w:ascii="楷体" w:hAnsi="楷体" w:eastAsia="楷体" w:cs="楷体"/>
          <w:lang w:bidi="ar"/>
        </w:rPr>
        <w:t>总则</w:t>
      </w:r>
    </w:p>
    <w:p>
      <w:pPr>
        <w:overflowPunct w:val="0"/>
        <w:adjustRightInd w:val="0"/>
        <w:snapToGrid w:val="0"/>
        <w:spacing w:line="560" w:lineRule="exact"/>
        <w:ind w:firstLine="640" w:firstLineChars="200"/>
        <w:contextualSpacing/>
        <w:jc w:val="left"/>
        <w:rPr>
          <w:rFonts w:ascii="楷体" w:hAnsi="楷体" w:eastAsia="楷体" w:cs="仿宋_GB2312"/>
        </w:rPr>
      </w:pPr>
      <w:r>
        <w:rPr>
          <w:rFonts w:hint="eastAsia" w:ascii="楷体" w:hAnsi="楷体" w:eastAsia="楷体" w:cs="楷体"/>
          <w:lang w:bidi="ar"/>
        </w:rPr>
        <w:t>第二章</w:t>
      </w:r>
      <w:r>
        <w:rPr>
          <w:rFonts w:hint="eastAsia" w:ascii="楷体" w:hAnsi="楷体" w:eastAsia="楷体" w:cs="仿宋_GB2312"/>
          <w:lang w:bidi="ar"/>
        </w:rPr>
        <w:t xml:space="preserve">  </w:t>
      </w:r>
      <w:r>
        <w:rPr>
          <w:rFonts w:hint="eastAsia" w:ascii="楷体" w:hAnsi="楷体" w:eastAsia="楷体" w:cs="楷体"/>
          <w:lang w:bidi="ar"/>
        </w:rPr>
        <w:t>创造与运用</w:t>
      </w:r>
    </w:p>
    <w:p>
      <w:pPr>
        <w:overflowPunct w:val="0"/>
        <w:adjustRightInd w:val="0"/>
        <w:snapToGrid w:val="0"/>
        <w:spacing w:line="560" w:lineRule="exact"/>
        <w:ind w:firstLine="640" w:firstLineChars="200"/>
        <w:contextualSpacing/>
        <w:jc w:val="left"/>
        <w:rPr>
          <w:rFonts w:ascii="楷体" w:hAnsi="楷体" w:eastAsia="楷体" w:cs="仿宋_GB2312"/>
        </w:rPr>
      </w:pPr>
      <w:r>
        <w:rPr>
          <w:rFonts w:hint="eastAsia" w:ascii="楷体" w:hAnsi="楷体" w:eastAsia="楷体" w:cs="楷体"/>
          <w:lang w:bidi="ar"/>
        </w:rPr>
        <w:t>第三章</w:t>
      </w:r>
      <w:r>
        <w:rPr>
          <w:rFonts w:hint="eastAsia" w:ascii="楷体" w:hAnsi="楷体" w:eastAsia="楷体" w:cs="仿宋_GB2312"/>
          <w:lang w:bidi="ar"/>
        </w:rPr>
        <w:t xml:space="preserve">  </w:t>
      </w:r>
      <w:r>
        <w:rPr>
          <w:rFonts w:hint="eastAsia" w:ascii="楷体" w:hAnsi="楷体" w:eastAsia="楷体" w:cs="楷体"/>
          <w:lang w:bidi="ar"/>
        </w:rPr>
        <w:t>保护</w:t>
      </w:r>
    </w:p>
    <w:p>
      <w:pPr>
        <w:overflowPunct w:val="0"/>
        <w:adjustRightInd w:val="0"/>
        <w:snapToGrid w:val="0"/>
        <w:spacing w:line="560" w:lineRule="exact"/>
        <w:ind w:firstLine="640" w:firstLineChars="200"/>
        <w:contextualSpacing/>
        <w:jc w:val="left"/>
        <w:rPr>
          <w:rFonts w:ascii="楷体" w:hAnsi="楷体" w:eastAsia="楷体" w:cs="仿宋_GB2312"/>
        </w:rPr>
      </w:pPr>
      <w:r>
        <w:rPr>
          <w:rFonts w:hint="eastAsia" w:ascii="楷体" w:hAnsi="楷体" w:eastAsia="楷体" w:cs="楷体"/>
          <w:lang w:bidi="ar"/>
        </w:rPr>
        <w:t>第四章</w:t>
      </w:r>
      <w:r>
        <w:rPr>
          <w:rFonts w:hint="eastAsia" w:ascii="楷体" w:hAnsi="楷体" w:eastAsia="楷体" w:cs="仿宋_GB2312"/>
          <w:lang w:bidi="ar"/>
        </w:rPr>
        <w:t xml:space="preserve">  </w:t>
      </w:r>
      <w:r>
        <w:rPr>
          <w:rFonts w:hint="eastAsia" w:ascii="楷体" w:hAnsi="楷体" w:eastAsia="楷体" w:cs="楷体"/>
          <w:lang w:bidi="ar"/>
        </w:rPr>
        <w:t>管理与服务</w:t>
      </w:r>
    </w:p>
    <w:p>
      <w:pPr>
        <w:overflowPunct w:val="0"/>
        <w:adjustRightInd w:val="0"/>
        <w:snapToGrid w:val="0"/>
        <w:spacing w:line="560" w:lineRule="exact"/>
        <w:ind w:firstLine="640" w:firstLineChars="200"/>
        <w:contextualSpacing/>
        <w:jc w:val="left"/>
        <w:rPr>
          <w:rFonts w:ascii="楷体" w:hAnsi="楷体" w:eastAsia="楷体" w:cs="仿宋_GB2312"/>
        </w:rPr>
      </w:pPr>
      <w:r>
        <w:rPr>
          <w:rFonts w:hint="eastAsia" w:ascii="楷体" w:hAnsi="楷体" w:eastAsia="楷体" w:cs="楷体"/>
          <w:lang w:bidi="ar"/>
        </w:rPr>
        <w:t>第五章</w:t>
      </w:r>
      <w:r>
        <w:rPr>
          <w:rFonts w:hint="eastAsia" w:ascii="楷体" w:hAnsi="楷体" w:eastAsia="楷体" w:cs="仿宋_GB2312"/>
          <w:lang w:bidi="ar"/>
        </w:rPr>
        <w:t xml:space="preserve">  </w:t>
      </w:r>
      <w:r>
        <w:rPr>
          <w:rFonts w:hint="eastAsia" w:ascii="楷体" w:hAnsi="楷体" w:eastAsia="楷体" w:cs="楷体"/>
          <w:lang w:bidi="ar"/>
        </w:rPr>
        <w:t>法律责任</w:t>
      </w:r>
    </w:p>
    <w:p>
      <w:pPr>
        <w:overflowPunct w:val="0"/>
        <w:adjustRightInd w:val="0"/>
        <w:snapToGrid w:val="0"/>
        <w:spacing w:line="560" w:lineRule="exact"/>
        <w:ind w:firstLine="640" w:firstLineChars="200"/>
        <w:contextualSpacing/>
        <w:jc w:val="left"/>
        <w:rPr>
          <w:rFonts w:ascii="楷体" w:hAnsi="楷体" w:eastAsia="楷体" w:cs="仿宋_GB2312"/>
        </w:rPr>
      </w:pPr>
      <w:r>
        <w:rPr>
          <w:rFonts w:hint="eastAsia" w:ascii="楷体" w:hAnsi="楷体" w:eastAsia="楷体" w:cs="楷体"/>
          <w:lang w:bidi="ar"/>
        </w:rPr>
        <w:t>第六章</w:t>
      </w:r>
      <w:r>
        <w:rPr>
          <w:rFonts w:hint="eastAsia" w:ascii="楷体" w:hAnsi="楷体" w:eastAsia="楷体" w:cs="仿宋_GB2312"/>
          <w:lang w:bidi="ar"/>
        </w:rPr>
        <w:t xml:space="preserve">  </w:t>
      </w:r>
      <w:r>
        <w:rPr>
          <w:rFonts w:hint="eastAsia" w:ascii="楷体" w:hAnsi="楷体" w:eastAsia="楷体" w:cs="楷体"/>
          <w:lang w:bidi="ar"/>
        </w:rPr>
        <w:t>附则</w:t>
      </w:r>
    </w:p>
    <w:p>
      <w:pPr>
        <w:overflowPunct w:val="0"/>
        <w:adjustRightInd w:val="0"/>
        <w:snapToGrid w:val="0"/>
        <w:spacing w:line="520" w:lineRule="exact"/>
        <w:contextualSpacing/>
        <w:rPr>
          <w:rFonts w:asciiTheme="majorEastAsia" w:hAnsiTheme="majorEastAsia" w:eastAsiaTheme="majorEastAsia" w:cstheme="majorEastAsia"/>
          <w:lang w:bidi="ar"/>
        </w:rPr>
      </w:pPr>
    </w:p>
    <w:p>
      <w:pPr>
        <w:overflowPunct w:val="0"/>
        <w:adjustRightInd w:val="0"/>
        <w:snapToGrid w:val="0"/>
        <w:spacing w:line="520" w:lineRule="exact"/>
        <w:contextualSpacing/>
        <w:jc w:val="center"/>
        <w:rPr>
          <w:rFonts w:ascii="黑体" w:hAnsi="黑体" w:eastAsia="黑体" w:cstheme="majorEastAsia"/>
        </w:rPr>
      </w:pPr>
      <w:r>
        <w:rPr>
          <w:rFonts w:hint="eastAsia" w:ascii="黑体" w:hAnsi="黑体" w:eastAsia="黑体" w:cstheme="majorEastAsia"/>
          <w:lang w:bidi="ar"/>
        </w:rPr>
        <w:t>第一章  总则</w:t>
      </w:r>
    </w:p>
    <w:p>
      <w:pPr>
        <w:overflowPunct w:val="0"/>
        <w:adjustRightInd w:val="0"/>
        <w:snapToGrid w:val="0"/>
        <w:spacing w:line="520" w:lineRule="exact"/>
        <w:ind w:firstLine="640" w:firstLineChars="200"/>
        <w:contextualSpacing/>
        <w:rPr>
          <w:rFonts w:ascii="黑体" w:hAnsi="宋体" w:eastAsia="黑体" w:cs="黑体"/>
          <w:lang w:bidi="ar"/>
        </w:rPr>
      </w:pPr>
    </w:p>
    <w:p>
      <w:pPr>
        <w:overflowPunct w:val="0"/>
        <w:adjustRightInd w:val="0"/>
        <w:snapToGrid w:val="0"/>
        <w:spacing w:line="510" w:lineRule="exact"/>
        <w:ind w:firstLine="640" w:firstLineChars="200"/>
        <w:contextualSpacing/>
        <w:rPr>
          <w:rFonts w:ascii="Calibri" w:hAnsi="Calibri"/>
        </w:rPr>
      </w:pPr>
      <w:r>
        <w:rPr>
          <w:rFonts w:hint="eastAsia" w:ascii="黑体" w:hAnsi="宋体" w:eastAsia="黑体" w:cs="黑体"/>
          <w:lang w:bidi="ar"/>
        </w:rPr>
        <w:t>第一条</w:t>
      </w:r>
      <w:r>
        <w:rPr>
          <w:rFonts w:hint="eastAsia" w:ascii="楷体" w:hAnsi="楷体" w:eastAsia="楷体" w:cs="楷体"/>
          <w:lang w:bidi="ar"/>
        </w:rPr>
        <w:t xml:space="preserve">  </w:t>
      </w:r>
      <w:r>
        <w:rPr>
          <w:rFonts w:hint="eastAsia" w:ascii="仿宋_GB2312" w:hAnsi="等线" w:cs="仿宋_GB2312"/>
          <w:lang w:bidi="ar"/>
        </w:rPr>
        <w:t>为了加强知识产权保护，促进创新发展，推动知识产权强省建设，根据有关法律、行政法规，结合本省实际，制定本条例。</w:t>
      </w:r>
    </w:p>
    <w:p>
      <w:pPr>
        <w:overflowPunct w:val="0"/>
        <w:adjustRightInd w:val="0"/>
        <w:snapToGrid w:val="0"/>
        <w:spacing w:line="510" w:lineRule="exact"/>
        <w:ind w:firstLine="640" w:firstLineChars="200"/>
        <w:contextualSpacing/>
        <w:rPr>
          <w:rFonts w:ascii="Calibri" w:hAnsi="Calibri"/>
        </w:rPr>
      </w:pPr>
      <w:r>
        <w:rPr>
          <w:rFonts w:hint="eastAsia" w:ascii="黑体" w:hAnsi="宋体" w:eastAsia="黑体" w:cs="黑体"/>
          <w:lang w:bidi="ar"/>
        </w:rPr>
        <w:t>第二条</w:t>
      </w:r>
      <w:r>
        <w:rPr>
          <w:rFonts w:hint="eastAsia" w:ascii="楷体" w:hAnsi="楷体" w:eastAsia="楷体" w:cs="楷体"/>
          <w:lang w:bidi="ar"/>
        </w:rPr>
        <w:t xml:space="preserve">  </w:t>
      </w:r>
      <w:r>
        <w:rPr>
          <w:rFonts w:hint="eastAsia" w:ascii="仿宋_GB2312" w:hAnsi="Calibri" w:cs="仿宋_GB2312"/>
          <w:lang w:bidi="ar"/>
        </w:rPr>
        <w:t>本条例适用于本省行政区域内的知识产权创造、运用、保护、管理、服务等活动。</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本条例所称知识产权，是指权利人依法就下列客体享有的专有的权利：</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（一）作品；</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（二）发明、实用新型、外观设计；</w:t>
      </w:r>
      <w:bookmarkStart w:id="0" w:name="_GoBack"/>
      <w:bookmarkEnd w:id="0"/>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（三）商标；</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（四）地理标志；</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（五）商业秘密；</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（六）集成电路布图设计；</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（七）植物新品种；</w:t>
      </w:r>
    </w:p>
    <w:p>
      <w:pPr>
        <w:shd w:val="clear" w:color="auto" w:fill="FFFFFF"/>
        <w:overflowPunct w:val="0"/>
        <w:adjustRightInd w:val="0"/>
        <w:snapToGrid w:val="0"/>
        <w:spacing w:line="510" w:lineRule="exact"/>
        <w:ind w:firstLine="640" w:firstLineChars="200"/>
        <w:contextualSpacing/>
        <w:rPr>
          <w:rFonts w:ascii="楷体_GB2312" w:hAnsi="仿宋" w:eastAsia="楷体_GB2312" w:cs="Arial"/>
          <w:shd w:val="clear" w:color="auto" w:fill="FFFFFF"/>
        </w:rPr>
      </w:pPr>
      <w:r>
        <w:rPr>
          <w:rFonts w:hint="eastAsia" w:ascii="仿宋_GB2312" w:hAnsi="宋体" w:cs="仿宋_GB2312"/>
          <w:shd w:val="clear" w:color="auto" w:fill="FFFFFF"/>
          <w:lang w:bidi="ar"/>
        </w:rPr>
        <w:t>（八）法律规定的其他客体。</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黑体" w:hAnsi="宋体" w:eastAsia="黑体" w:cs="黑体"/>
          <w:shd w:val="clear" w:color="auto" w:fill="FFFFFF"/>
          <w:lang w:bidi="ar"/>
        </w:rPr>
        <w:t>第三条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知识产权保护和促进工作应当遵循鼓励创造、推动运用、依法保护、科学管理和优化服务的原则。</w:t>
      </w:r>
    </w:p>
    <w:p>
      <w:pPr>
        <w:shd w:val="clear" w:color="auto" w:fill="FFFFFF"/>
        <w:overflowPunct w:val="0"/>
        <w:adjustRightInd w:val="0"/>
        <w:snapToGrid w:val="0"/>
        <w:spacing w:line="510" w:lineRule="exact"/>
        <w:ind w:firstLine="640" w:firstLineChars="200"/>
        <w:contextualSpacing/>
        <w:rPr>
          <w:rFonts w:ascii="黑体" w:hAnsi="宋体" w:eastAsia="黑体"/>
          <w:shd w:val="clear" w:color="auto" w:fill="FFFFFF"/>
        </w:rPr>
      </w:pPr>
      <w:r>
        <w:rPr>
          <w:rFonts w:hint="eastAsia" w:ascii="黑体" w:hAnsi="宋体" w:eastAsia="黑体" w:cs="黑体"/>
          <w:shd w:val="clear" w:color="auto" w:fill="FFFFFF"/>
          <w:lang w:bidi="ar"/>
        </w:rPr>
        <w:t>第四条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县级以上人民政府应当将知识产权保护和促进工作纳入国民经济和社会发展规划，创新和完善知识产权保护和促进工作机制，协调解决知识产权工作中的重大问题，并将所需工作经费纳入本级财政预算。</w:t>
      </w:r>
    </w:p>
    <w:p>
      <w:pPr>
        <w:overflowPunct w:val="0"/>
        <w:adjustRightInd w:val="0"/>
        <w:snapToGrid w:val="0"/>
        <w:spacing w:line="510" w:lineRule="exact"/>
        <w:ind w:firstLine="640" w:firstLineChars="200"/>
        <w:contextualSpacing/>
        <w:rPr>
          <w:rFonts w:ascii="仿宋_GB2312" w:hAnsi="Calibri"/>
          <w:highlight w:val="yellow"/>
        </w:rPr>
      </w:pPr>
      <w:r>
        <w:rPr>
          <w:rFonts w:hint="eastAsia" w:ascii="黑体" w:hAnsi="宋体" w:eastAsia="黑体" w:cs="黑体"/>
          <w:lang w:bidi="ar"/>
        </w:rPr>
        <w:t>第五条</w:t>
      </w:r>
      <w:r>
        <w:rPr>
          <w:rFonts w:hint="eastAsia" w:ascii="楷体" w:hAnsi="楷体" w:eastAsia="楷体" w:cs="楷体"/>
          <w:lang w:bidi="ar"/>
        </w:rPr>
        <w:t xml:space="preserve">  </w:t>
      </w:r>
      <w:r>
        <w:rPr>
          <w:rFonts w:hint="eastAsia" w:ascii="仿宋_GB2312" w:hAnsi="Calibri" w:cs="仿宋_GB2312"/>
          <w:lang w:bidi="ar"/>
        </w:rPr>
        <w:t>县级以上人民政府市场监督管理部门负责统筹协调并组织实施本行政区域内的知识产权保护和促进工作，依法承担</w:t>
      </w:r>
      <w:r>
        <w:rPr>
          <w:rFonts w:hint="eastAsia" w:ascii="仿宋_GB2312" w:hAnsi="宋体" w:cs="仿宋_GB2312"/>
          <w:lang w:bidi="ar"/>
        </w:rPr>
        <w:t>专利、商标、地理标志、商业秘密、集成电路布图设计等知识产权保护和促进的具体工作。</w:t>
      </w:r>
    </w:p>
    <w:p>
      <w:pPr>
        <w:shd w:val="clear" w:color="auto" w:fill="FFFFFF"/>
        <w:overflowPunct w:val="0"/>
        <w:adjustRightInd w:val="0"/>
        <w:snapToGrid w:val="0"/>
        <w:spacing w:line="510" w:lineRule="exact"/>
        <w:ind w:firstLine="640" w:firstLineChars="200"/>
        <w:contextualSpacing/>
        <w:rPr>
          <w:rFonts w:ascii="宋体" w:hAnsi="宋体"/>
          <w:shd w:val="clear" w:color="auto" w:fill="FFFFFF"/>
        </w:rPr>
      </w:pPr>
      <w:r>
        <w:rPr>
          <w:rFonts w:hint="eastAsia" w:ascii="仿宋_GB2312" w:hAnsi="宋体" w:cs="仿宋_GB2312"/>
          <w:shd w:val="clear" w:color="auto" w:fill="FFFFFF"/>
          <w:lang w:bidi="ar"/>
        </w:rPr>
        <w:t>县级以上人民政府著作权主管部门依法承担著作权保护和促进的具体工作。</w:t>
      </w:r>
    </w:p>
    <w:p>
      <w:pPr>
        <w:shd w:val="clear" w:color="auto" w:fill="FFFFFF"/>
        <w:overflowPunct w:val="0"/>
        <w:adjustRightInd w:val="0"/>
        <w:snapToGrid w:val="0"/>
        <w:spacing w:line="510" w:lineRule="exact"/>
        <w:ind w:firstLine="640" w:firstLineChars="200"/>
        <w:contextualSpacing/>
        <w:rPr>
          <w:rFonts w:ascii="仿宋_GB2312" w:hAnsi="宋体"/>
          <w:shd w:val="clear" w:color="auto" w:fill="FFFFFF"/>
        </w:rPr>
      </w:pPr>
      <w:r>
        <w:rPr>
          <w:rFonts w:hint="eastAsia" w:ascii="仿宋_GB2312" w:hAnsi="宋体" w:cs="仿宋_GB2312"/>
          <w:shd w:val="clear" w:color="auto" w:fill="FFFFFF"/>
          <w:lang w:bidi="ar"/>
        </w:rPr>
        <w:t>县级以上人民政府农业农村、林业部门或者人民政府确定的其他部门依法承担植物新品种等知识产权保护和促进的具体工作。</w:t>
      </w:r>
    </w:p>
    <w:p>
      <w:pPr>
        <w:shd w:val="clear" w:color="auto" w:fill="FFFFFF"/>
        <w:overflowPunct w:val="0"/>
        <w:adjustRightInd w:val="0"/>
        <w:snapToGrid w:val="0"/>
        <w:spacing w:line="510" w:lineRule="exact"/>
        <w:ind w:firstLine="640" w:firstLineChars="200"/>
        <w:contextualSpacing/>
        <w:rPr>
          <w:rFonts w:ascii="仿宋_GB2312" w:hAnsi="宋体" w:cs="仿宋_GB2312"/>
          <w:shd w:val="clear" w:color="auto" w:fill="FFFFFF"/>
          <w:lang w:bidi="ar"/>
        </w:rPr>
      </w:pPr>
      <w:r>
        <w:rPr>
          <w:rFonts w:hint="eastAsia" w:ascii="仿宋_GB2312" w:hAnsi="宋体" w:cs="仿宋_GB2312"/>
          <w:shd w:val="clear" w:color="auto" w:fill="FFFFFF"/>
          <w:lang w:bidi="ar"/>
        </w:rPr>
        <w:t>发展改革、教育、</w:t>
      </w:r>
      <w:r>
        <w:rPr>
          <w:rFonts w:hint="eastAsia" w:ascii="仿宋_GB2312" w:hAnsi="宋体" w:cs="仿宋_GB2312"/>
          <w:lang w:bidi="ar"/>
        </w:rPr>
        <w:t>科学技术</w:t>
      </w:r>
      <w:r>
        <w:rPr>
          <w:rFonts w:hint="eastAsia" w:ascii="仿宋_GB2312" w:hAnsi="宋体" w:cs="仿宋_GB2312"/>
          <w:shd w:val="clear" w:color="auto" w:fill="FFFFFF"/>
          <w:lang w:bidi="ar"/>
        </w:rPr>
        <w:t>、工业和信息化、公安、人力资源社会保障、商务、海关等有关部门，应当按照各自职责做好知识产权保护和促进的相关工作。</w:t>
      </w:r>
    </w:p>
    <w:p>
      <w:pPr>
        <w:pStyle w:val="12"/>
        <w:spacing w:line="510" w:lineRule="exact"/>
        <w:rPr>
          <w:rFonts w:ascii="仿宋_GB2312" w:hAnsi="宋体" w:eastAsia="仿宋_GB2312" w:cs="仿宋_GB2312"/>
          <w:lang w:bidi="ar"/>
        </w:rPr>
      </w:pPr>
      <w:r>
        <w:rPr>
          <w:rFonts w:hint="eastAsia" w:cs="黑体"/>
          <w:lang w:bidi="ar"/>
        </w:rPr>
        <w:t>第六条</w:t>
      </w:r>
      <w:r>
        <w:rPr>
          <w:rFonts w:hint="eastAsia" w:ascii="楷体" w:hAnsi="楷体" w:eastAsia="楷体" w:cs="楷体"/>
          <w:lang w:bidi="ar"/>
        </w:rPr>
        <w:t xml:space="preserve">  </w:t>
      </w:r>
      <w:r>
        <w:rPr>
          <w:rFonts w:hint="eastAsia" w:ascii="仿宋_GB2312" w:hAnsi="宋体" w:eastAsia="仿宋_GB2312" w:cs="仿宋_GB2312"/>
          <w:lang w:bidi="ar"/>
        </w:rPr>
        <w:t>中国（山东）自由贸易试验区、中国-上海合作组织地方经贸合作示范区、济南新旧动能转换起步区、高新技术产业开发区以及其他功能区应当根据国家授权，先行先试创新知识产权保护体制机制，完善相关政策措施，形成可复制可推广的改革创新经验和成果。</w:t>
      </w:r>
    </w:p>
    <w:p>
      <w:pPr>
        <w:shd w:val="clear" w:color="auto" w:fill="FFFFFF"/>
        <w:overflowPunct w:val="0"/>
        <w:adjustRightInd w:val="0"/>
        <w:snapToGrid w:val="0"/>
        <w:spacing w:line="510" w:lineRule="exact"/>
        <w:ind w:firstLine="640" w:firstLineChars="200"/>
        <w:contextualSpacing/>
        <w:rPr>
          <w:rFonts w:ascii="宋体" w:hAnsi="宋体"/>
          <w:shd w:val="clear" w:color="auto" w:fill="FFFFFF"/>
        </w:rPr>
      </w:pPr>
      <w:r>
        <w:rPr>
          <w:rFonts w:hint="eastAsia" w:ascii="黑体" w:hAnsi="宋体" w:eastAsia="黑体" w:cs="黑体"/>
          <w:shd w:val="clear" w:color="auto" w:fill="FFFFFF"/>
          <w:lang w:bidi="ar"/>
        </w:rPr>
        <w:t>第七条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县级以上人民政府应当构建多方参与的知识产权治理体系，鼓励和支持社会力量参与知识产权保护和促进相关工作，加强宣传引导，增强全社会保护和促进知识产权的意识，营造尊重知识、崇尚创新、诚信守法的社会环境。</w:t>
      </w:r>
    </w:p>
    <w:p>
      <w:pPr>
        <w:shd w:val="clear" w:color="auto" w:fill="FFFFFF"/>
        <w:overflowPunct w:val="0"/>
        <w:adjustRightInd w:val="0"/>
        <w:snapToGrid w:val="0"/>
        <w:spacing w:line="510" w:lineRule="exact"/>
        <w:ind w:firstLine="640" w:firstLineChars="200"/>
        <w:contextualSpacing/>
        <w:rPr>
          <w:rFonts w:ascii="宋体" w:hAnsi="宋体"/>
          <w:shd w:val="clear" w:color="auto" w:fill="FFFFFF"/>
        </w:rPr>
      </w:pPr>
      <w:r>
        <w:rPr>
          <w:rFonts w:hint="eastAsia" w:ascii="仿宋_GB2312" w:hAnsi="宋体" w:cs="仿宋_GB2312"/>
          <w:shd w:val="clear" w:color="auto" w:fill="FFFFFF"/>
          <w:lang w:bidi="ar"/>
        </w:rPr>
        <w:t>行业协会、商会等应当推进行业自律，引导会员增强知识产权保护和促进意识，抵制知识产权违法行为。</w:t>
      </w:r>
    </w:p>
    <w:p>
      <w:pPr>
        <w:shd w:val="clear" w:color="auto" w:fill="FFFFFF"/>
        <w:overflowPunct w:val="0"/>
        <w:adjustRightInd w:val="0"/>
        <w:snapToGrid w:val="0"/>
        <w:spacing w:line="510" w:lineRule="exact"/>
        <w:ind w:firstLine="640" w:firstLineChars="200"/>
        <w:contextualSpacing/>
        <w:rPr>
          <w:rFonts w:ascii="Calibri" w:hAnsi="Calibri"/>
          <w:shd w:val="clear" w:color="auto" w:fill="FFFFFF"/>
        </w:rPr>
      </w:pPr>
      <w:r>
        <w:rPr>
          <w:rFonts w:hint="eastAsia" w:ascii="仿宋_GB2312" w:hAnsi="宋体" w:cs="仿宋_GB2312"/>
          <w:shd w:val="clear" w:color="auto" w:fill="FFFFFF"/>
          <w:lang w:bidi="ar"/>
        </w:rPr>
        <w:t>新闻媒体应当通过多种形式开展知识产权保护和促进的公益宣传和舆论监督。</w:t>
      </w:r>
    </w:p>
    <w:p>
      <w:pPr>
        <w:shd w:val="clear" w:color="auto" w:fill="FFFFFF"/>
        <w:overflowPunct w:val="0"/>
        <w:adjustRightInd w:val="0"/>
        <w:snapToGrid w:val="0"/>
        <w:spacing w:line="510" w:lineRule="exact"/>
        <w:ind w:firstLine="640" w:firstLineChars="200"/>
        <w:contextualSpacing/>
        <w:rPr>
          <w:rFonts w:ascii="宋体" w:hAnsi="宋体"/>
          <w:shd w:val="clear" w:color="auto" w:fill="FFFFFF"/>
        </w:rPr>
      </w:pPr>
      <w:r>
        <w:rPr>
          <w:rFonts w:hint="eastAsia" w:ascii="黑体" w:hAnsi="宋体" w:eastAsia="黑体" w:cs="黑体"/>
          <w:shd w:val="clear" w:color="auto" w:fill="FFFFFF"/>
          <w:lang w:bidi="ar"/>
        </w:rPr>
        <w:t>第八条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县级以上人民政府应当建立健全知识产权表彰奖励制度，按照国家和省有关规定对知识产权保护和促进工作中做出突出贡献的单位和个人给予表彰、奖励。</w:t>
      </w:r>
    </w:p>
    <w:p>
      <w:pPr>
        <w:overflowPunct w:val="0"/>
        <w:adjustRightInd w:val="0"/>
        <w:snapToGrid w:val="0"/>
        <w:spacing w:line="510" w:lineRule="exact"/>
        <w:contextualSpacing/>
        <w:jc w:val="center"/>
        <w:rPr>
          <w:rFonts w:ascii="宋体" w:hAnsi="宋体" w:eastAsia="宋体" w:cs="宋体"/>
          <w:lang w:bidi="ar"/>
        </w:rPr>
      </w:pPr>
    </w:p>
    <w:p>
      <w:pPr>
        <w:overflowPunct w:val="0"/>
        <w:adjustRightInd w:val="0"/>
        <w:snapToGrid w:val="0"/>
        <w:spacing w:line="510" w:lineRule="exact"/>
        <w:contextualSpacing/>
        <w:jc w:val="center"/>
        <w:rPr>
          <w:rFonts w:ascii="黑体" w:hAnsi="黑体" w:eastAsia="黑体" w:cs="黑体"/>
        </w:rPr>
      </w:pPr>
      <w:r>
        <w:rPr>
          <w:rFonts w:hint="eastAsia" w:ascii="黑体" w:hAnsi="黑体" w:eastAsia="黑体" w:cs="宋体"/>
          <w:lang w:bidi="ar"/>
        </w:rPr>
        <w:t>第二章  创造与运用</w:t>
      </w:r>
    </w:p>
    <w:p>
      <w:pPr>
        <w:shd w:val="clear" w:color="auto" w:fill="FFFFFF"/>
        <w:overflowPunct w:val="0"/>
        <w:adjustRightInd w:val="0"/>
        <w:snapToGrid w:val="0"/>
        <w:spacing w:line="510" w:lineRule="exact"/>
        <w:ind w:firstLine="640" w:firstLineChars="200"/>
        <w:contextualSpacing/>
        <w:rPr>
          <w:rFonts w:ascii="黑体" w:hAnsi="宋体" w:eastAsia="黑体" w:cs="黑体"/>
          <w:shd w:val="clear" w:color="auto" w:fill="FFFFFF"/>
          <w:lang w:bidi="ar"/>
        </w:rPr>
      </w:pPr>
    </w:p>
    <w:p>
      <w:pPr>
        <w:shd w:val="clear" w:color="auto" w:fill="FFFFFF"/>
        <w:overflowPunct w:val="0"/>
        <w:adjustRightInd w:val="0"/>
        <w:snapToGrid w:val="0"/>
        <w:spacing w:line="510" w:lineRule="exact"/>
        <w:ind w:firstLine="640" w:firstLineChars="200"/>
        <w:contextualSpacing/>
        <w:rPr>
          <w:rFonts w:ascii="仿宋_GB2312" w:hAnsi="Calibri"/>
          <w:shd w:val="clear" w:color="auto" w:fill="FFFFFF"/>
        </w:rPr>
      </w:pPr>
      <w:r>
        <w:rPr>
          <w:rFonts w:hint="eastAsia" w:ascii="黑体" w:hAnsi="宋体" w:eastAsia="黑体" w:cs="黑体"/>
          <w:shd w:val="clear" w:color="auto" w:fill="FFFFFF"/>
          <w:lang w:bidi="ar"/>
        </w:rPr>
        <w:t>第九条</w:t>
      </w:r>
      <w:r>
        <w:rPr>
          <w:rFonts w:hint="eastAsia" w:ascii="楷体" w:hAnsi="楷体" w:eastAsia="楷体" w:cs="楷体"/>
          <w:shd w:val="clear" w:color="auto" w:fill="FFFFFF"/>
          <w:lang w:bidi="ar"/>
        </w:rPr>
        <w:t xml:space="preserve">  </w:t>
      </w:r>
      <w:r>
        <w:rPr>
          <w:rFonts w:hint="eastAsia" w:ascii="仿宋_GB2312" w:hAnsi="Calibri" w:cs="仿宋_GB2312"/>
          <w:shd w:val="clear" w:color="auto" w:fill="FFFFFF"/>
          <w:lang w:bidi="ar"/>
        </w:rPr>
        <w:t>县级以上人民政府</w:t>
      </w:r>
      <w:r>
        <w:rPr>
          <w:rFonts w:hint="eastAsia" w:ascii="仿宋_GB2312" w:hAnsi="宋体" w:cs="仿宋_GB2312"/>
          <w:shd w:val="clear" w:color="auto" w:fill="FFFFFF"/>
          <w:lang w:bidi="ar"/>
        </w:rPr>
        <w:t>应</w:t>
      </w:r>
      <w:r>
        <w:rPr>
          <w:rFonts w:hint="eastAsia" w:ascii="仿宋_GB2312" w:hAnsi="Calibri" w:cs="仿宋_GB2312"/>
          <w:shd w:val="clear" w:color="auto" w:fill="FFFFFF"/>
          <w:lang w:bidi="ar"/>
        </w:rPr>
        <w:t>当推动建立市场主导、政府引导、社会参与、产学研服相结合的知识产权创新体系，促进知识产权创造和运用。</w:t>
      </w:r>
    </w:p>
    <w:p>
      <w:pPr>
        <w:shd w:val="clear" w:color="auto" w:fill="FFFFFF"/>
        <w:overflowPunct w:val="0"/>
        <w:adjustRightInd w:val="0"/>
        <w:snapToGrid w:val="0"/>
        <w:spacing w:line="510" w:lineRule="exact"/>
        <w:ind w:firstLine="640" w:firstLineChars="200"/>
        <w:contextualSpacing/>
        <w:rPr>
          <w:rFonts w:ascii="仿宋_GB2312" w:hAnsi="宋体" w:cs="仿宋_GB2312"/>
          <w:shd w:val="clear" w:color="auto" w:fill="FFFFFF"/>
          <w:lang w:bidi="ar"/>
        </w:rPr>
      </w:pPr>
      <w:r>
        <w:rPr>
          <w:rFonts w:hint="eastAsia" w:ascii="黑体" w:hAnsi="宋体" w:eastAsia="黑体" w:cs="黑体"/>
          <w:shd w:val="clear" w:color="auto" w:fill="FFFFFF"/>
          <w:lang w:bidi="ar"/>
        </w:rPr>
        <w:t>第十条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 xml:space="preserve">企业、高等学校、科研机构应当加强知识产权创造和储备，增加高价值知识产权拥有量，提升知识产权运用效益，促进知识产权与产业深度融合。 </w:t>
      </w:r>
    </w:p>
    <w:p>
      <w:pPr>
        <w:pStyle w:val="12"/>
        <w:spacing w:line="510" w:lineRule="exact"/>
        <w:rPr>
          <w:rFonts w:ascii="仿宋_GB2312" w:hAnsi="宋体" w:eastAsia="仿宋_GB2312" w:cs="仿宋_GB2312"/>
          <w:lang w:bidi="ar"/>
        </w:rPr>
      </w:pPr>
      <w:r>
        <w:rPr>
          <w:rFonts w:hint="eastAsia" w:ascii="仿宋_GB2312" w:hAnsi="宋体" w:eastAsia="仿宋_GB2312" w:cs="仿宋_GB2312"/>
          <w:lang w:bidi="ar"/>
        </w:rPr>
        <w:t>鼓励企业、高等学校、科研机构合作建立技术研发中心、产业研究院、中试基地等新型研究开发机构，提高技术创新能力。</w:t>
      </w:r>
    </w:p>
    <w:p>
      <w:pPr>
        <w:shd w:val="clear" w:color="auto" w:fill="FFFFFF"/>
        <w:overflowPunct w:val="0"/>
        <w:adjustRightInd w:val="0"/>
        <w:snapToGrid w:val="0"/>
        <w:spacing w:line="510" w:lineRule="exact"/>
        <w:ind w:firstLine="640" w:firstLineChars="200"/>
        <w:contextualSpacing/>
        <w:rPr>
          <w:rFonts w:ascii="仿宋_GB2312" w:hAnsi="宋体" w:cs="仿宋_GB2312"/>
          <w:shd w:val="clear" w:color="auto" w:fill="FFFFFF"/>
          <w:lang w:bidi="ar"/>
        </w:rPr>
      </w:pPr>
      <w:r>
        <w:rPr>
          <w:rFonts w:hint="eastAsia" w:ascii="黑体" w:hAnsi="宋体" w:eastAsia="黑体" w:cs="黑体"/>
          <w:shd w:val="clear" w:color="auto" w:fill="FFFFFF"/>
          <w:lang w:bidi="ar"/>
        </w:rPr>
        <w:t>第十一条</w:t>
      </w:r>
      <w:r>
        <w:rPr>
          <w:rFonts w:hint="eastAsia" w:ascii="仿宋_GB2312" w:hAnsi="宋体" w:cs="仿宋_GB2312"/>
          <w:shd w:val="clear" w:color="auto" w:fill="FFFFFF"/>
          <w:lang w:bidi="ar"/>
        </w:rPr>
        <w:t xml:space="preserve">  企业、高等学校、科研机构和知识产权服务机构应当围绕产业发展战略，采取符合自身特点的知识产权转化运用策略和运营模式，推动自主知识产权产业化。</w:t>
      </w:r>
    </w:p>
    <w:p>
      <w:pPr>
        <w:shd w:val="clear" w:color="auto" w:fill="FFFFFF"/>
        <w:overflowPunct w:val="0"/>
        <w:adjustRightInd w:val="0"/>
        <w:snapToGrid w:val="0"/>
        <w:spacing w:line="510" w:lineRule="exact"/>
        <w:ind w:firstLine="640" w:firstLineChars="200"/>
        <w:contextualSpacing/>
        <w:rPr>
          <w:rFonts w:ascii="仿宋_GB2312" w:hAnsi="宋体" w:cs="仿宋_GB2312"/>
          <w:shd w:val="clear" w:color="auto" w:fill="FFFFFF"/>
          <w:lang w:bidi="ar"/>
        </w:rPr>
      </w:pPr>
      <w:r>
        <w:rPr>
          <w:rFonts w:hint="eastAsia" w:ascii="仿宋_GB2312" w:hAnsi="宋体" w:cs="仿宋_GB2312"/>
          <w:shd w:val="clear" w:color="auto" w:fill="FFFFFF"/>
          <w:lang w:bidi="ar"/>
        </w:rPr>
        <w:t>县级以上人民政府及其有关部门在科技立项、成果产业化、创新基金使用等方面，应当优先支持具有自主知识产权的项目或者产品，并可以通过资金补助、风险补偿、创业投资引导等方式给予扶持。</w:t>
      </w:r>
    </w:p>
    <w:p>
      <w:pPr>
        <w:shd w:val="clear" w:color="auto" w:fill="FFFFFF"/>
        <w:overflowPunct w:val="0"/>
        <w:adjustRightInd w:val="0"/>
        <w:snapToGrid w:val="0"/>
        <w:spacing w:line="510" w:lineRule="exact"/>
        <w:ind w:firstLine="640" w:firstLineChars="200"/>
        <w:contextualSpacing/>
        <w:rPr>
          <w:rFonts w:ascii="仿宋_GB2312" w:hAnsi="楷体" w:cs="仿宋_GB2312"/>
          <w:shd w:val="clear" w:color="auto" w:fill="FFFFFF"/>
          <w:lang w:bidi="ar"/>
        </w:rPr>
      </w:pPr>
      <w:r>
        <w:rPr>
          <w:rFonts w:hint="eastAsia" w:ascii="黑体" w:hAnsi="宋体" w:eastAsia="黑体" w:cs="黑体"/>
          <w:shd w:val="clear" w:color="auto" w:fill="FFFFFF"/>
          <w:lang w:bidi="ar"/>
        </w:rPr>
        <w:t>第十二条</w:t>
      </w:r>
      <w:r>
        <w:rPr>
          <w:rFonts w:hint="eastAsia" w:ascii="楷体" w:hAnsi="楷体" w:eastAsia="楷体" w:cs="楷体"/>
          <w:shd w:val="clear" w:color="auto" w:fill="FFFFFF"/>
          <w:lang w:bidi="ar"/>
        </w:rPr>
        <w:t xml:space="preserve">  </w:t>
      </w:r>
      <w:r>
        <w:rPr>
          <w:rFonts w:hint="eastAsia" w:ascii="仿宋_GB2312" w:hAnsi="楷体" w:cs="仿宋_GB2312"/>
          <w:shd w:val="clear" w:color="auto" w:fill="FFFFFF"/>
          <w:lang w:bidi="ar"/>
        </w:rPr>
        <w:t>企业、高等学校、科研机构应当建立以知识价值为导向的知识产权权益分配机制，推进知识产权权益分配改革，提升知识产权转移转化活力和实施效益。</w:t>
      </w:r>
    </w:p>
    <w:p>
      <w:pPr>
        <w:shd w:val="clear" w:color="auto" w:fill="FFFFFF"/>
        <w:overflowPunct w:val="0"/>
        <w:adjustRightInd w:val="0"/>
        <w:snapToGrid w:val="0"/>
        <w:spacing w:line="510" w:lineRule="exact"/>
        <w:ind w:firstLine="640" w:firstLineChars="200"/>
        <w:contextualSpacing/>
        <w:rPr>
          <w:rFonts w:ascii="仿宋_GB2312" w:hAnsi="楷体" w:cs="仿宋_GB2312"/>
          <w:shd w:val="clear" w:color="auto" w:fill="FFFFFF"/>
          <w:lang w:bidi="ar"/>
        </w:rPr>
      </w:pPr>
      <w:r>
        <w:rPr>
          <w:rFonts w:hint="eastAsia" w:ascii="仿宋_GB2312" w:hAnsi="楷体" w:cs="仿宋_GB2312"/>
          <w:shd w:val="clear" w:color="auto" w:fill="FFFFFF"/>
          <w:lang w:bidi="ar"/>
        </w:rPr>
        <w:t>鼓励单位通过赋予职务作品、职务科技成果等职务知识产权的完成人职务知识产权所有权或者长期使用权等方式实施产权激励。除法律、行政法规另有规定外，单位可以与职务知识产权的完成人就知识产权归属、转移转化和收益等进行约定。</w:t>
      </w:r>
    </w:p>
    <w:p>
      <w:pPr>
        <w:shd w:val="clear" w:color="auto" w:fill="FFFFFF"/>
        <w:overflowPunct w:val="0"/>
        <w:adjustRightInd w:val="0"/>
        <w:snapToGrid w:val="0"/>
        <w:spacing w:line="510" w:lineRule="exact"/>
        <w:ind w:firstLine="640" w:firstLineChars="200"/>
        <w:contextualSpacing/>
        <w:rPr>
          <w:rFonts w:ascii="仿宋_GB2312" w:hAnsi="楷体" w:cs="仿宋_GB2312"/>
          <w:shd w:val="clear" w:color="auto" w:fill="FFFFFF"/>
          <w:lang w:bidi="ar"/>
        </w:rPr>
      </w:pPr>
      <w:r>
        <w:rPr>
          <w:rFonts w:hint="eastAsia" w:ascii="仿宋_GB2312" w:hAnsi="楷体" w:cs="仿宋_GB2312"/>
          <w:shd w:val="clear" w:color="auto" w:fill="FFFFFF"/>
          <w:lang w:bidi="ar"/>
        </w:rPr>
        <w:t>鼓励企业、高等学校、科研机构健全职务发明奖励和报酬制度，明确职务发明奖励报酬的条件、程序、方式和数额。</w:t>
      </w:r>
    </w:p>
    <w:p>
      <w:pPr>
        <w:shd w:val="clear" w:color="auto" w:fill="FFFFFF"/>
        <w:overflowPunct w:val="0"/>
        <w:adjustRightInd w:val="0"/>
        <w:snapToGrid w:val="0"/>
        <w:spacing w:line="510" w:lineRule="exact"/>
        <w:ind w:firstLine="640" w:firstLineChars="200"/>
        <w:contextualSpacing/>
        <w:rPr>
          <w:rFonts w:ascii="仿宋_GB2312" w:hAnsi="楷体" w:cs="仿宋_GB2312"/>
          <w:lang w:bidi="ar"/>
        </w:rPr>
      </w:pPr>
      <w:r>
        <w:rPr>
          <w:rStyle w:val="13"/>
          <w:rFonts w:hint="eastAsia"/>
        </w:rPr>
        <w:t xml:space="preserve">第十三条  </w:t>
      </w:r>
      <w:r>
        <w:rPr>
          <w:rFonts w:ascii="仿宋_GB2312" w:hAnsi="楷体" w:cs="仿宋_GB2312"/>
          <w:shd w:val="clear" w:color="auto" w:fill="FFFFFF"/>
          <w:lang w:bidi="ar"/>
        </w:rPr>
        <w:t>利用财政性资金设立的科学技术计划项目所形成的科技成果，在不损害国家安全、国家利益和重大社会公共利益的前提下，授权项目承担者依法取得相关知识产权，项目承担者可以依法自行投资实施转化、向他人转让、联合他人共同实施转化、许可他人使用或者作价投资等。</w:t>
      </w:r>
    </w:p>
    <w:p>
      <w:pPr>
        <w:pStyle w:val="14"/>
        <w:spacing w:line="520" w:lineRule="exact"/>
        <w:rPr>
          <w:rFonts w:cs="Arial"/>
          <w:shd w:val="clear" w:color="auto" w:fill="FFFFFF"/>
        </w:rPr>
      </w:pPr>
      <w:r>
        <w:rPr>
          <w:rFonts w:hint="eastAsia" w:ascii="黑体" w:eastAsia="黑体" w:cs="黑体"/>
          <w:shd w:val="clear" w:color="auto" w:fill="FFFFFF"/>
          <w:lang w:bidi="ar"/>
        </w:rPr>
        <w:t>第十四条</w:t>
      </w:r>
      <w:r>
        <w:rPr>
          <w:rFonts w:hint="eastAsia" w:ascii="楷体" w:hAnsi="楷体" w:eastAsia="楷体" w:cs="楷体"/>
          <w:shd w:val="clear" w:color="auto" w:fill="FFFFFF"/>
          <w:lang w:bidi="ar"/>
        </w:rPr>
        <w:t xml:space="preserve">  </w:t>
      </w:r>
      <w:r>
        <w:rPr>
          <w:rFonts w:hint="eastAsia"/>
          <w:shd w:val="clear" w:color="auto" w:fill="FFFFFF"/>
          <w:lang w:bidi="ar"/>
        </w:rPr>
        <w:t>鼓励知识产权与技术标准</w:t>
      </w:r>
      <w:r>
        <w:rPr>
          <w:rFonts w:hint="eastAsia"/>
          <w:shd w:val="clear" w:color="auto" w:fill="auto"/>
          <w:lang w:bidi="ar"/>
        </w:rPr>
        <w:t>有</w:t>
      </w:r>
      <w:r>
        <w:rPr>
          <w:rFonts w:hint="eastAsia"/>
          <w:shd w:val="clear" w:color="auto" w:fill="FFFFFF"/>
          <w:lang w:bidi="ar"/>
        </w:rPr>
        <w:t>效融合，支持知识产权权利人将相关知识产权转化为国际标准、国家标准、行业标准、地方标准或者团体标准。</w:t>
      </w:r>
    </w:p>
    <w:p>
      <w:pPr>
        <w:shd w:val="clear" w:color="auto" w:fill="FFFFFF"/>
        <w:overflowPunct w:val="0"/>
        <w:adjustRightInd w:val="0"/>
        <w:snapToGrid w:val="0"/>
        <w:spacing w:line="520" w:lineRule="exact"/>
        <w:ind w:firstLine="640" w:firstLineChars="200"/>
        <w:contextualSpacing/>
        <w:rPr>
          <w:rFonts w:ascii="仿宋_GB2312" w:hAnsi="宋体" w:cs="Arial"/>
          <w:shd w:val="clear" w:color="auto" w:fill="FFFFFF"/>
        </w:rPr>
      </w:pPr>
      <w:r>
        <w:rPr>
          <w:rFonts w:hint="eastAsia" w:ascii="黑体" w:hAnsi="宋体" w:eastAsia="黑体" w:cs="黑体"/>
          <w:shd w:val="clear" w:color="auto" w:fill="FFFFFF"/>
          <w:lang w:bidi="ar"/>
        </w:rPr>
        <w:t>第十五条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企业、高等学校、科研机构应当建立健全知识产权管理制度，推动知识产权管理国家标准实施，实现知识产权管理的标准化。</w:t>
      </w:r>
    </w:p>
    <w:p>
      <w:pPr>
        <w:shd w:val="clear" w:color="auto" w:fill="FFFFFF"/>
        <w:overflowPunct w:val="0"/>
        <w:adjustRightInd w:val="0"/>
        <w:snapToGrid w:val="0"/>
        <w:spacing w:line="520" w:lineRule="exact"/>
        <w:ind w:firstLine="640" w:firstLineChars="200"/>
        <w:contextualSpacing/>
        <w:rPr>
          <w:rStyle w:val="13"/>
          <w:u w:val="single"/>
          <w:lang w:bidi="ar"/>
        </w:rPr>
      </w:pPr>
      <w:r>
        <w:rPr>
          <w:rFonts w:hint="eastAsia" w:ascii="仿宋_GB2312" w:hAnsi="Calibri" w:cs="仿宋_GB2312"/>
          <w:shd w:val="clear" w:color="auto" w:fill="FFFFFF"/>
          <w:lang w:bidi="ar"/>
        </w:rPr>
        <w:t>企业、高等学校、科研机构和知识产权服务机构应当发挥各自优势，开展知识产权互助、协作，</w:t>
      </w:r>
      <w:r>
        <w:rPr>
          <w:rFonts w:ascii="仿宋_GB2312" w:hAnsi="Calibri" w:cs="仿宋_GB2312"/>
          <w:shd w:val="clear" w:color="auto" w:fill="FFFFFF"/>
          <w:lang w:bidi="ar"/>
        </w:rPr>
        <w:t>建立优势互补、分工明确、成果共享、风险共担的合作机制，</w:t>
      </w:r>
      <w:r>
        <w:rPr>
          <w:rFonts w:hint="eastAsia" w:ascii="仿宋_GB2312" w:hAnsi="Calibri" w:cs="仿宋_GB2312"/>
          <w:shd w:val="clear" w:color="auto" w:fill="FFFFFF"/>
          <w:lang w:bidi="ar"/>
        </w:rPr>
        <w:t>实现资源共享。</w:t>
      </w:r>
    </w:p>
    <w:p>
      <w:pPr>
        <w:shd w:val="clear" w:color="auto" w:fill="FFFFFF"/>
        <w:overflowPunct w:val="0"/>
        <w:adjustRightInd w:val="0"/>
        <w:snapToGrid w:val="0"/>
        <w:spacing w:line="520" w:lineRule="exact"/>
        <w:ind w:firstLine="640" w:firstLineChars="200"/>
        <w:contextualSpacing/>
        <w:rPr>
          <w:rFonts w:ascii="仿宋_GB2312" w:hAnsi="Calibri" w:cs="仿宋_GB2312"/>
          <w:shd w:val="clear" w:color="auto" w:fill="FFFFFF"/>
          <w:lang w:bidi="ar"/>
        </w:rPr>
      </w:pPr>
      <w:r>
        <w:rPr>
          <w:rFonts w:hint="eastAsia" w:ascii="黑体" w:hAnsi="宋体" w:eastAsia="黑体" w:cs="黑体"/>
          <w:shd w:val="clear" w:color="auto" w:fill="FFFFFF"/>
          <w:lang w:bidi="ar"/>
        </w:rPr>
        <w:t>第十六条</w:t>
      </w:r>
      <w:r>
        <w:rPr>
          <w:rFonts w:hint="eastAsia" w:ascii="楷体" w:hAnsi="楷体" w:eastAsia="楷体" w:cs="楷体"/>
          <w:shd w:val="clear" w:color="auto" w:fill="FFFFFF"/>
          <w:lang w:bidi="ar"/>
        </w:rPr>
        <w:t xml:space="preserve">  </w:t>
      </w:r>
      <w:r>
        <w:rPr>
          <w:rFonts w:hint="eastAsia" w:ascii="仿宋_GB2312" w:hAnsi="Calibri" w:cs="仿宋_GB2312"/>
          <w:shd w:val="clear" w:color="auto" w:fill="FFFFFF"/>
          <w:lang w:bidi="ar"/>
        </w:rPr>
        <w:t>金融机构应当创新金融服务模式和金融产品，提供知识产权质押融资、知识产权证券化等信贷、担保服务，扩大知识产权信贷、担保规模，加大对中小微企业、初创企业知识产权信贷支持。</w:t>
      </w:r>
    </w:p>
    <w:p>
      <w:pPr>
        <w:shd w:val="clear" w:color="auto" w:fill="FFFFFF"/>
        <w:overflowPunct w:val="0"/>
        <w:adjustRightInd w:val="0"/>
        <w:snapToGrid w:val="0"/>
        <w:spacing w:line="520" w:lineRule="exact"/>
        <w:ind w:firstLine="640" w:firstLineChars="200"/>
        <w:contextualSpacing/>
        <w:rPr>
          <w:rFonts w:ascii="仿宋_GB2312" w:hAnsi="Calibri" w:cs="仿宋_GB2312"/>
          <w:shd w:val="clear" w:color="auto" w:fill="FFFFFF"/>
          <w:lang w:bidi="ar"/>
        </w:rPr>
      </w:pPr>
      <w:r>
        <w:rPr>
          <w:rFonts w:hint="eastAsia" w:ascii="仿宋_GB2312" w:hAnsi="Calibri" w:cs="仿宋_GB2312"/>
          <w:shd w:val="clear" w:color="auto" w:fill="FFFFFF"/>
          <w:lang w:bidi="ar"/>
        </w:rPr>
        <w:t>鼓励金融机构、知识产权服务机构等建立适合知识产权特点的评价体系，完善知识产权融资风险预防、风险分担机制以及知识产权评估、质押财产处置机制。</w:t>
      </w:r>
    </w:p>
    <w:p>
      <w:pPr>
        <w:shd w:val="clear" w:color="auto" w:fill="FFFFFF"/>
        <w:overflowPunct w:val="0"/>
        <w:adjustRightInd w:val="0"/>
        <w:snapToGrid w:val="0"/>
        <w:spacing w:line="520" w:lineRule="exact"/>
        <w:ind w:firstLine="640" w:firstLineChars="200"/>
        <w:contextualSpacing/>
        <w:rPr>
          <w:rFonts w:ascii="仿宋_GB2312" w:hAnsi="Calibri" w:cs="仿宋_GB2312"/>
          <w:shd w:val="clear" w:color="auto" w:fill="FFFFFF"/>
          <w:lang w:bidi="ar"/>
        </w:rPr>
      </w:pPr>
      <w:r>
        <w:rPr>
          <w:rFonts w:hint="eastAsia" w:ascii="仿宋_GB2312" w:hAnsi="Calibri" w:cs="仿宋_GB2312"/>
          <w:shd w:val="clear" w:color="auto" w:fill="FFFFFF"/>
          <w:lang w:bidi="ar"/>
        </w:rPr>
        <w:t>鼓励支持知识产权权利人、创业投资机构、知识产权服务机构等探索建立知识产权转移转化新型合作模式。</w:t>
      </w:r>
    </w:p>
    <w:p>
      <w:pPr>
        <w:shd w:val="clear" w:color="auto" w:fill="FFFFFF"/>
        <w:overflowPunct w:val="0"/>
        <w:adjustRightInd w:val="0"/>
        <w:snapToGrid w:val="0"/>
        <w:spacing w:line="520" w:lineRule="exact"/>
        <w:ind w:firstLine="640" w:firstLineChars="200"/>
        <w:contextualSpacing/>
        <w:rPr>
          <w:rFonts w:ascii="仿宋_GB2312" w:hAnsi="Calibri" w:cs="仿宋_GB2312"/>
          <w:shd w:val="clear" w:color="auto" w:fill="FFFFFF"/>
          <w:lang w:bidi="ar"/>
        </w:rPr>
      </w:pPr>
      <w:r>
        <w:rPr>
          <w:rFonts w:hint="eastAsia" w:ascii="黑体" w:hAnsi="宋体" w:eastAsia="黑体" w:cs="黑体"/>
          <w:shd w:val="clear" w:color="auto" w:fill="FFFFFF"/>
          <w:lang w:bidi="ar"/>
        </w:rPr>
        <w:t>第十七条</w:t>
      </w:r>
      <w:r>
        <w:rPr>
          <w:rFonts w:hint="eastAsia" w:ascii="楷体" w:hAnsi="楷体" w:eastAsia="楷体" w:cs="楷体"/>
          <w:shd w:val="clear" w:color="auto" w:fill="FFFFFF"/>
          <w:lang w:bidi="ar"/>
        </w:rPr>
        <w:t xml:space="preserve">  </w:t>
      </w:r>
      <w:r>
        <w:rPr>
          <w:rFonts w:hint="eastAsia" w:ascii="仿宋_GB2312" w:hAnsi="Calibri" w:cs="仿宋_GB2312"/>
          <w:shd w:val="clear" w:color="auto" w:fill="FFFFFF"/>
          <w:lang w:bidi="ar"/>
        </w:rPr>
        <w:t>省人民政府设立专利奖，对促进经济和社会发展做出突出贡献的优秀专利项目和发明人给予奖励。鼓励设区的市、县（市、区）人民政府对优秀知识产权项目和知识产权权利人给予奖励。</w:t>
      </w:r>
    </w:p>
    <w:p>
      <w:pPr>
        <w:shd w:val="clear" w:color="auto" w:fill="FFFFFF"/>
        <w:overflowPunct w:val="0"/>
        <w:adjustRightInd w:val="0"/>
        <w:snapToGrid w:val="0"/>
        <w:spacing w:line="520" w:lineRule="exact"/>
        <w:ind w:firstLine="640" w:firstLineChars="200"/>
        <w:contextualSpacing/>
        <w:rPr>
          <w:shd w:val="pct10" w:color="auto" w:fill="FFFFFF"/>
          <w:lang w:bidi="ar"/>
        </w:rPr>
      </w:pPr>
      <w:r>
        <w:rPr>
          <w:rFonts w:hint="eastAsia" w:ascii="仿宋_GB2312" w:hAnsi="Calibri" w:cs="仿宋_GB2312"/>
          <w:shd w:val="clear" w:color="auto" w:fill="FFFFFF"/>
          <w:lang w:bidi="ar"/>
        </w:rPr>
        <w:t>鼓励用人单位对在单位知识产权工作中做出突出贡献的职工给予激励，倡导公民、法人和其他组织按照国家有关规定设立知识产权奖项。</w:t>
      </w:r>
    </w:p>
    <w:p>
      <w:pPr>
        <w:overflowPunct w:val="0"/>
        <w:adjustRightInd w:val="0"/>
        <w:snapToGrid w:val="0"/>
        <w:spacing w:line="510" w:lineRule="exact"/>
        <w:contextualSpacing/>
        <w:jc w:val="center"/>
        <w:rPr>
          <w:rFonts w:ascii="黑体" w:hAnsi="黑体" w:eastAsia="黑体" w:cs="宋体"/>
          <w:lang w:bidi="ar"/>
        </w:rPr>
      </w:pPr>
    </w:p>
    <w:p>
      <w:pPr>
        <w:overflowPunct w:val="0"/>
        <w:adjustRightInd w:val="0"/>
        <w:snapToGrid w:val="0"/>
        <w:spacing w:line="510" w:lineRule="exact"/>
        <w:contextualSpacing/>
        <w:jc w:val="center"/>
        <w:rPr>
          <w:rFonts w:ascii="黑体" w:hAnsi="黑体" w:eastAsia="黑体" w:cs="宋体"/>
          <w:lang w:bidi="ar"/>
        </w:rPr>
      </w:pPr>
      <w:r>
        <w:rPr>
          <w:rFonts w:hint="eastAsia" w:ascii="黑体" w:hAnsi="黑体" w:eastAsia="黑体" w:cs="宋体"/>
          <w:lang w:bidi="ar"/>
        </w:rPr>
        <w:t>第三章  保护</w:t>
      </w:r>
    </w:p>
    <w:p>
      <w:pPr>
        <w:pStyle w:val="9"/>
        <w:overflowPunct w:val="0"/>
        <w:adjustRightInd w:val="0"/>
        <w:snapToGrid w:val="0"/>
        <w:spacing w:line="510" w:lineRule="exact"/>
        <w:ind w:firstLine="640"/>
      </w:pPr>
    </w:p>
    <w:p>
      <w:pPr>
        <w:shd w:val="clear" w:color="auto" w:fill="FFFFFF"/>
        <w:overflowPunct w:val="0"/>
        <w:adjustRightInd w:val="0"/>
        <w:snapToGrid w:val="0"/>
        <w:spacing w:line="510" w:lineRule="exact"/>
        <w:ind w:firstLine="640" w:firstLineChars="200"/>
        <w:contextualSpacing/>
        <w:rPr>
          <w:rFonts w:ascii="仿宋_GB2312" w:hAnsi="宋体" w:cs="仿宋_GB2312"/>
          <w:shd w:val="clear" w:color="auto" w:fill="FFFFFF"/>
          <w:lang w:bidi="ar"/>
        </w:rPr>
      </w:pPr>
      <w:r>
        <w:rPr>
          <w:rFonts w:hint="eastAsia" w:ascii="黑体" w:hAnsi="宋体" w:eastAsia="黑体" w:cs="黑体"/>
          <w:shd w:val="clear" w:color="auto" w:fill="FFFFFF"/>
          <w:lang w:bidi="ar"/>
        </w:rPr>
        <w:t>第十八条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本省建立行政保护与司法保护、政府监管与行业自律、企业自治与社会监督相结合的知识产权保护体系，构建权界清晰、分工合理、责权一致、运转高效的保护机制，推进知识产权领域信用体系建设，维护知识产权权利人的合法权益。</w:t>
      </w:r>
    </w:p>
    <w:p>
      <w:pPr>
        <w:overflowPunct w:val="0"/>
        <w:adjustRightInd w:val="0"/>
        <w:snapToGrid w:val="0"/>
        <w:spacing w:line="510" w:lineRule="exact"/>
        <w:ind w:firstLine="640" w:firstLineChars="200"/>
        <w:contextualSpacing/>
        <w:rPr>
          <w:rFonts w:ascii="黑体" w:hAnsi="宋体" w:eastAsia="黑体" w:cs="黑体"/>
          <w:lang w:bidi="ar"/>
        </w:rPr>
      </w:pPr>
      <w:r>
        <w:rPr>
          <w:rFonts w:hint="eastAsia" w:ascii="黑体" w:hAnsi="宋体" w:eastAsia="黑体" w:cs="黑体"/>
          <w:lang w:bidi="ar"/>
        </w:rPr>
        <w:t xml:space="preserve">第十九条  </w:t>
      </w:r>
      <w:r>
        <w:rPr>
          <w:rFonts w:hint="eastAsia" w:ascii="仿宋_GB2312" w:hAnsi="宋体" w:cs="仿宋_GB2312"/>
          <w:shd w:val="clear" w:color="auto" w:fill="FFFFFF"/>
          <w:lang w:bidi="ar"/>
        </w:rPr>
        <w:t>县级以上人民政府负责知识产权保护的部门应当按照各自职责，建立健全本行政区域知识产权重点保护名录和侵权预警机制，加强对高价值知识产权或者容易被侵权假冒知识产权的保护。</w:t>
      </w:r>
    </w:p>
    <w:p>
      <w:pPr>
        <w:overflowPunct w:val="0"/>
        <w:adjustRightInd w:val="0"/>
        <w:snapToGrid w:val="0"/>
        <w:spacing w:line="510" w:lineRule="exact"/>
        <w:ind w:firstLine="640" w:firstLineChars="200"/>
        <w:contextualSpacing/>
        <w:rPr>
          <w:rFonts w:ascii="仿宋_GB2312" w:hAnsi="宋体" w:cs="仿宋_GB2312"/>
          <w:lang w:bidi="ar"/>
        </w:rPr>
      </w:pPr>
      <w:r>
        <w:rPr>
          <w:rFonts w:hint="eastAsia" w:ascii="黑体" w:hAnsi="宋体" w:eastAsia="黑体" w:cs="黑体"/>
          <w:lang w:bidi="ar"/>
        </w:rPr>
        <w:t>第二十条</w:t>
      </w:r>
      <w:r>
        <w:rPr>
          <w:rFonts w:hint="eastAsia" w:ascii="楷体" w:hAnsi="楷体" w:eastAsia="楷体" w:cs="楷体"/>
          <w:lang w:bidi="ar"/>
        </w:rPr>
        <w:t xml:space="preserve">  </w:t>
      </w:r>
      <w:r>
        <w:rPr>
          <w:rFonts w:hint="eastAsia" w:ascii="仿宋_GB2312" w:hAnsi="宋体" w:cs="仿宋_GB2312"/>
          <w:lang w:bidi="ar"/>
        </w:rPr>
        <w:t>县级以上人民政府应当组织有关部门建立联合执法机制，推进区域知识产权保护会商和信息共享，完善跨部门、跨区域知识产权案件的信息通报、配合调查、移送等制度，加强知识产权的办案协作。</w:t>
      </w:r>
    </w:p>
    <w:p>
      <w:pPr>
        <w:shd w:val="clear" w:color="auto" w:fill="FFFFFF"/>
        <w:overflowPunct w:val="0"/>
        <w:adjustRightInd w:val="0"/>
        <w:snapToGrid w:val="0"/>
        <w:spacing w:line="510" w:lineRule="exact"/>
        <w:ind w:firstLine="640" w:firstLineChars="200"/>
        <w:contextualSpacing/>
        <w:rPr>
          <w:rFonts w:ascii="黑体" w:hAnsi="宋体" w:eastAsia="黑体" w:cs="黑体"/>
          <w:shd w:val="clear" w:color="auto" w:fill="FFFFFF"/>
          <w:lang w:bidi="ar"/>
        </w:rPr>
      </w:pPr>
      <w:r>
        <w:rPr>
          <w:rFonts w:hint="eastAsia" w:ascii="黑体" w:hAnsi="宋体" w:eastAsia="黑体" w:cs="黑体"/>
          <w:shd w:val="clear" w:color="auto" w:fill="FFFFFF"/>
          <w:lang w:bidi="ar"/>
        </w:rPr>
        <w:t xml:space="preserve">第二十一条  </w:t>
      </w:r>
      <w:r>
        <w:rPr>
          <w:rFonts w:hint="eastAsia" w:ascii="仿宋_GB2312" w:hAnsi="宋体" w:cs="仿宋_GB2312"/>
          <w:lang w:bidi="ar"/>
        </w:rPr>
        <w:t>县级以上人民政府负责知识产权保护的部门应当加强对网络环境下的知识产权保护，建立互联网领域执法协作机制，依法查处利用互联网侵犯知识产权的违法行为。</w:t>
      </w:r>
    </w:p>
    <w:p>
      <w:pPr>
        <w:pStyle w:val="14"/>
        <w:spacing w:line="510" w:lineRule="exact"/>
        <w:rPr>
          <w:rFonts w:ascii="宋体" w:eastAsia="宋体" w:cs="宋体"/>
          <w:shd w:val="clear" w:color="auto" w:fill="auto"/>
        </w:rPr>
      </w:pPr>
      <w:r>
        <w:rPr>
          <w:rFonts w:hint="eastAsia" w:ascii="黑体" w:eastAsia="黑体" w:cs="黑体"/>
          <w:shd w:val="clear" w:color="auto" w:fill="FFFFFF"/>
          <w:lang w:bidi="ar"/>
        </w:rPr>
        <w:t>第二十二条</w:t>
      </w:r>
      <w:r>
        <w:rPr>
          <w:rFonts w:hint="eastAsia" w:ascii="楷体" w:hAnsi="楷体" w:eastAsia="楷体" w:cs="楷体"/>
          <w:shd w:val="clear" w:color="auto" w:fill="auto"/>
          <w:lang w:bidi="ar"/>
        </w:rPr>
        <w:t xml:space="preserve">  </w:t>
      </w:r>
      <w:r>
        <w:rPr>
          <w:rFonts w:hint="eastAsia"/>
          <w:shd w:val="clear" w:color="auto" w:fill="auto"/>
          <w:lang w:bidi="ar"/>
        </w:rPr>
        <w:t>县级以上人民政府负责知识产权保护的部门应当根据工作需要建立技术调查官制度，在技术类和专业技术性较强的知识产权案件中，对技术事实专业问题协助进行调查、分析、判断，为知识产权纠纷处理提供</w:t>
      </w:r>
      <w:r>
        <w:rPr>
          <w:rFonts w:hint="eastAsia" w:hAnsi="等线"/>
          <w:shd w:val="clear" w:color="auto" w:fill="auto"/>
          <w:lang w:bidi="ar"/>
        </w:rPr>
        <w:t>专业支持。</w:t>
      </w:r>
    </w:p>
    <w:p>
      <w:pPr>
        <w:shd w:val="clear" w:color="auto" w:fill="FFFFFF"/>
        <w:overflowPunct w:val="0"/>
        <w:adjustRightInd w:val="0"/>
        <w:snapToGrid w:val="0"/>
        <w:spacing w:line="510" w:lineRule="exact"/>
        <w:ind w:firstLine="640" w:firstLineChars="200"/>
        <w:contextualSpacing/>
        <w:rPr>
          <w:rFonts w:ascii="仿宋_GB2312" w:hAnsi="Calibri" w:cs="仿宋_GB2312"/>
          <w:shd w:val="clear" w:color="auto" w:fill="FFFFFF"/>
          <w:lang w:bidi="ar"/>
        </w:rPr>
      </w:pPr>
      <w:r>
        <w:rPr>
          <w:rFonts w:hint="eastAsia" w:ascii="黑体" w:hAnsi="宋体" w:eastAsia="黑体" w:cs="黑体"/>
          <w:shd w:val="clear" w:color="auto" w:fill="FFFFFF"/>
          <w:lang w:bidi="ar"/>
        </w:rPr>
        <w:t>第二十三条</w:t>
      </w:r>
      <w:r>
        <w:rPr>
          <w:rFonts w:hint="eastAsia" w:ascii="楷体" w:hAnsi="楷体" w:eastAsia="楷体" w:cs="楷体"/>
          <w:shd w:val="clear" w:color="auto" w:fill="FFFFFF"/>
          <w:lang w:bidi="ar"/>
        </w:rPr>
        <w:t xml:space="preserve">  </w:t>
      </w:r>
      <w:r>
        <w:rPr>
          <w:rFonts w:hint="eastAsia" w:ascii="仿宋_GB2312" w:hAnsi="仿宋" w:cs="仿宋_GB2312"/>
          <w:shd w:val="clear" w:color="auto" w:fill="FFFFFF"/>
          <w:lang w:bidi="ar"/>
        </w:rPr>
        <w:t>县级以上人民政府负责知识产权保护的部门应当完善知识产权投诉、举报处理机制，公开受理渠道和方式，及时处理投诉、举报；健全知识产权侵权假冒举报奖励机制，对举报查证属实的，按照规定给予奖励</w:t>
      </w:r>
      <w:r>
        <w:rPr>
          <w:rFonts w:hint="eastAsia" w:ascii="仿宋_GB2312" w:hAnsi="Calibri" w:cs="仿宋_GB2312"/>
          <w:shd w:val="clear" w:color="auto" w:fill="FFFFFF"/>
          <w:lang w:bidi="ar"/>
        </w:rPr>
        <w:t>。</w:t>
      </w:r>
    </w:p>
    <w:p>
      <w:pPr>
        <w:shd w:val="clear" w:color="auto" w:fill="FFFFFF"/>
        <w:overflowPunct w:val="0"/>
        <w:adjustRightInd w:val="0"/>
        <w:snapToGrid w:val="0"/>
        <w:spacing w:line="510" w:lineRule="exact"/>
        <w:ind w:firstLine="640" w:firstLineChars="200"/>
        <w:contextualSpacing/>
        <w:rPr>
          <w:rFonts w:ascii="Calibri" w:hAnsi="Calibri"/>
          <w:shd w:val="clear" w:color="auto" w:fill="FFFFFF"/>
        </w:rPr>
      </w:pPr>
      <w:r>
        <w:rPr>
          <w:rFonts w:hint="eastAsia" w:ascii="黑体" w:hAnsi="宋体" w:eastAsia="黑体" w:cs="黑体"/>
          <w:shd w:val="clear" w:color="auto" w:fill="FFFFFF"/>
          <w:lang w:bidi="ar"/>
        </w:rPr>
        <w:t>第二十四条</w:t>
      </w:r>
      <w:r>
        <w:rPr>
          <w:rFonts w:hint="eastAsia" w:ascii="楷体" w:hAnsi="楷体" w:eastAsia="楷体" w:cs="楷体"/>
          <w:shd w:val="clear" w:color="auto" w:fill="FFFFFF"/>
          <w:lang w:bidi="ar"/>
        </w:rPr>
        <w:t xml:space="preserve">  </w:t>
      </w:r>
      <w:r>
        <w:rPr>
          <w:rFonts w:hint="eastAsia" w:ascii="仿宋_GB2312" w:hAnsi="Calibri" w:cs="仿宋_GB2312"/>
          <w:shd w:val="clear" w:color="auto" w:fill="FFFFFF"/>
          <w:lang w:bidi="ar"/>
        </w:rPr>
        <w:t>县级以上人民政府负责知识产权保护的部门应当建立健全知识产权维权援助制度，完善维权援助工作体系，为公民、法人和其他组织提供维权事务咨询、纠纷解决方案等公共服务。</w:t>
      </w:r>
    </w:p>
    <w:p>
      <w:pPr>
        <w:shd w:val="clear" w:color="auto" w:fill="FFFFFF"/>
        <w:overflowPunct w:val="0"/>
        <w:adjustRightInd w:val="0"/>
        <w:snapToGrid w:val="0"/>
        <w:spacing w:line="510" w:lineRule="exact"/>
        <w:ind w:firstLine="640" w:firstLineChars="200"/>
        <w:contextualSpacing/>
        <w:rPr>
          <w:rFonts w:ascii="仿宋_GB2312" w:hAnsi="Calibri" w:cs="仿宋_GB2312"/>
          <w:shd w:val="clear" w:color="auto" w:fill="FFFFFF"/>
          <w:lang w:bidi="ar"/>
        </w:rPr>
      </w:pPr>
      <w:r>
        <w:rPr>
          <w:rFonts w:hint="eastAsia" w:ascii="仿宋_GB2312" w:hAnsi="Calibri" w:cs="仿宋_GB2312"/>
          <w:shd w:val="clear" w:color="auto" w:fill="FFFFFF"/>
          <w:lang w:bidi="ar"/>
        </w:rPr>
        <w:t>县级以上人民政府负责知识产权保护的部门应当完善海外知识产权维权援助机制，提供海外知识产权纠纷应对指导，支持行业、企业建立知识产权海外维权联盟。</w:t>
      </w:r>
    </w:p>
    <w:p>
      <w:pPr>
        <w:pStyle w:val="12"/>
        <w:spacing w:line="510" w:lineRule="exact"/>
        <w:rPr>
          <w:rFonts w:ascii="仿宋_GB2312" w:hAnsi="Calibri" w:eastAsia="仿宋_GB2312" w:cs="仿宋_GB2312"/>
          <w:lang w:bidi="ar"/>
        </w:rPr>
      </w:pPr>
      <w:r>
        <w:rPr>
          <w:rFonts w:hint="eastAsia" w:cs="黑体"/>
          <w:shd w:val="clear" w:color="auto" w:fill="auto"/>
          <w:lang w:bidi="ar"/>
        </w:rPr>
        <w:t>第二十五条</w:t>
      </w:r>
      <w:r>
        <w:rPr>
          <w:rFonts w:hint="eastAsia" w:ascii="楷体" w:hAnsi="楷体" w:eastAsia="楷体" w:cs="楷体"/>
          <w:shd w:val="clear" w:color="auto" w:fill="auto"/>
          <w:lang w:bidi="ar"/>
        </w:rPr>
        <w:t xml:space="preserve">  </w:t>
      </w:r>
      <w:r>
        <w:rPr>
          <w:rFonts w:hint="eastAsia" w:ascii="仿宋_GB2312" w:hAnsi="Calibri" w:eastAsia="仿宋_GB2312" w:cs="仿宋_GB2312"/>
          <w:lang w:bidi="ar"/>
        </w:rPr>
        <w:t>建立和完善知识产权保护行政执法与刑事司法衔接机制，推动行政机关和司法机关在违法线索、监测数据、典型案例等方面的信息共享，依法查处知识产权违法行为，保护知识产权权利人的合法权益。</w:t>
      </w:r>
    </w:p>
    <w:p>
      <w:pPr>
        <w:pStyle w:val="12"/>
        <w:spacing w:line="510" w:lineRule="exact"/>
        <w:rPr>
          <w:rFonts w:ascii="宋体"/>
          <w:shd w:val="clear" w:color="auto" w:fill="auto"/>
        </w:rPr>
      </w:pPr>
      <w:r>
        <w:rPr>
          <w:rFonts w:hint="eastAsia" w:ascii="仿宋_GB2312" w:hAnsi="Calibri" w:eastAsia="仿宋_GB2312" w:cs="仿宋_GB2312"/>
          <w:lang w:bidi="ar"/>
        </w:rPr>
        <w:t>人民法院应当根据国家有关知识产权案件跨区域审理等规定，采用繁简分流等方式，提高知识产权案件审判质量和效率。</w:t>
      </w:r>
    </w:p>
    <w:p>
      <w:pPr>
        <w:pStyle w:val="12"/>
        <w:spacing w:line="510" w:lineRule="exact"/>
        <w:rPr>
          <w:rFonts w:ascii="仿宋_GB2312" w:hAnsi="Calibri" w:eastAsia="仿宋_GB2312" w:cs="仿宋_GB2312"/>
          <w:lang w:bidi="ar"/>
        </w:rPr>
      </w:pPr>
      <w:r>
        <w:rPr>
          <w:rFonts w:hint="eastAsia" w:ascii="宋体"/>
          <w:shd w:val="clear" w:color="auto" w:fill="auto"/>
        </w:rPr>
        <w:t>第二十六条</w:t>
      </w:r>
      <w:r>
        <w:rPr>
          <w:rFonts w:hint="eastAsia" w:ascii="楷体" w:hAnsi="楷体" w:eastAsia="楷体" w:cs="楷体"/>
          <w:shd w:val="clear" w:color="auto" w:fill="auto"/>
          <w:lang w:bidi="ar"/>
        </w:rPr>
        <w:t xml:space="preserve">  </w:t>
      </w:r>
      <w:r>
        <w:rPr>
          <w:rFonts w:hint="eastAsia" w:ascii="仿宋_GB2312" w:hAnsi="Calibri" w:eastAsia="仿宋_GB2312" w:cs="仿宋_GB2312"/>
          <w:lang w:bidi="ar"/>
        </w:rPr>
        <w:t>人民法院、人民检察院应当完善法律适用统一机制建设，通过发布典型案例、编纂类案办案指南等方式加强案例指导。</w:t>
      </w:r>
    </w:p>
    <w:p>
      <w:pPr>
        <w:pStyle w:val="12"/>
        <w:spacing w:line="510" w:lineRule="exact"/>
        <w:rPr>
          <w:lang w:bidi="ar"/>
        </w:rPr>
      </w:pPr>
      <w:r>
        <w:rPr>
          <w:rFonts w:hint="eastAsia" w:ascii="仿宋_GB2312" w:hAnsi="Calibri" w:eastAsia="仿宋_GB2312" w:cs="仿宋_GB2312"/>
          <w:lang w:bidi="ar"/>
        </w:rPr>
        <w:t>人民检察院应当依法履行法律监督职能，加强知识产权民事、刑事、行政案件法律监督。</w:t>
      </w:r>
    </w:p>
    <w:p>
      <w:pPr>
        <w:shd w:val="clear" w:color="auto" w:fill="FFFFFF"/>
        <w:overflowPunct w:val="0"/>
        <w:adjustRightInd w:val="0"/>
        <w:snapToGrid w:val="0"/>
        <w:spacing w:line="510" w:lineRule="exact"/>
        <w:ind w:firstLine="640" w:firstLineChars="200"/>
        <w:contextualSpacing/>
        <w:rPr>
          <w:rFonts w:ascii="仿宋_GB2312" w:hAnsi="等线" w:cs="仿宋_GB2312"/>
          <w:shd w:val="clear" w:color="auto" w:fill="FFFFFF"/>
          <w:lang w:bidi="ar"/>
        </w:rPr>
      </w:pPr>
      <w:r>
        <w:rPr>
          <w:rFonts w:hint="eastAsia" w:ascii="黑体" w:hAnsi="宋体" w:eastAsia="黑体" w:cs="黑体"/>
          <w:shd w:val="clear" w:color="auto" w:fill="FFFFFF"/>
          <w:lang w:bidi="ar"/>
        </w:rPr>
        <w:t>第二十七条</w:t>
      </w:r>
      <w:r>
        <w:rPr>
          <w:rFonts w:hint="eastAsia" w:ascii="楷体" w:hAnsi="楷体" w:eastAsia="楷体" w:cs="楷体"/>
          <w:shd w:val="clear" w:color="auto" w:fill="FFFFFF"/>
          <w:lang w:bidi="ar"/>
        </w:rPr>
        <w:t xml:space="preserve">  </w:t>
      </w:r>
      <w:r>
        <w:rPr>
          <w:rFonts w:hint="eastAsia" w:ascii="仿宋_GB2312" w:hAnsi="等线" w:cs="仿宋_GB2312"/>
          <w:shd w:val="clear" w:color="auto" w:fill="FFFFFF"/>
          <w:lang w:bidi="ar"/>
        </w:rPr>
        <w:t>建立和完善知识产权纠纷多元化解机制，推动和解、调解、行政裁决、行政复议、仲裁、诉讼等纠纷解决途径有效衔接，依法及时化解知识产权纠纷。</w:t>
      </w:r>
    </w:p>
    <w:p>
      <w:pPr>
        <w:overflowPunct w:val="0"/>
        <w:adjustRightInd w:val="0"/>
        <w:snapToGrid w:val="0"/>
        <w:spacing w:line="510" w:lineRule="exact"/>
        <w:ind w:firstLine="640" w:firstLineChars="200"/>
        <w:contextualSpacing/>
        <w:rPr>
          <w:rStyle w:val="13"/>
        </w:rPr>
      </w:pPr>
      <w:r>
        <w:rPr>
          <w:rFonts w:hint="eastAsia" w:ascii="仿宋_GB2312" w:hAnsi="等线" w:cs="仿宋_GB2312"/>
          <w:shd w:val="clear" w:color="auto" w:fill="FFFFFF"/>
          <w:lang w:bidi="ar"/>
        </w:rPr>
        <w:t>当事人达成知识产权纠纷调解协议的，可以依法向人民法院申请司法确认。</w:t>
      </w:r>
      <w:r>
        <w:rPr>
          <w:rStyle w:val="13"/>
          <w:rFonts w:hint="eastAsia"/>
        </w:rPr>
        <w:t xml:space="preserve"> </w:t>
      </w:r>
    </w:p>
    <w:p>
      <w:pPr>
        <w:overflowPunct w:val="0"/>
        <w:adjustRightInd w:val="0"/>
        <w:snapToGrid w:val="0"/>
        <w:spacing w:line="510" w:lineRule="exact"/>
        <w:ind w:firstLine="640" w:firstLineChars="200"/>
        <w:contextualSpacing/>
        <w:rPr>
          <w:rFonts w:ascii="仿宋_GB2312" w:hAnsi="等线" w:cs="仿宋_GB2312"/>
          <w:lang w:bidi="ar"/>
        </w:rPr>
      </w:pPr>
      <w:r>
        <w:rPr>
          <w:rStyle w:val="13"/>
          <w:rFonts w:hint="eastAsia"/>
        </w:rPr>
        <w:t xml:space="preserve">第二十八条  </w:t>
      </w:r>
      <w:r>
        <w:rPr>
          <w:rFonts w:hint="eastAsia" w:ascii="仿宋_GB2312" w:hAnsi="等线" w:cs="仿宋_GB2312"/>
          <w:lang w:bidi="ar"/>
        </w:rPr>
        <w:t>当事人对知识产权纠纷申请行政裁决的，负责知识产权保护的部门应当依法及时作出行政裁决。</w:t>
      </w:r>
    </w:p>
    <w:p>
      <w:pPr>
        <w:pStyle w:val="12"/>
        <w:spacing w:line="510" w:lineRule="exact"/>
        <w:rPr>
          <w:rFonts w:ascii="仿宋_GB2312" w:hAnsi="等线" w:eastAsia="仿宋_GB2312" w:cs="仿宋_GB2312"/>
          <w:shd w:val="clear" w:color="auto" w:fill="auto"/>
          <w:lang w:bidi="ar"/>
        </w:rPr>
      </w:pPr>
      <w:r>
        <w:rPr>
          <w:rFonts w:hint="eastAsia" w:ascii="仿宋_GB2312" w:hAnsi="等线" w:eastAsia="仿宋_GB2312" w:cs="仿宋_GB2312"/>
          <w:shd w:val="clear" w:color="auto" w:fill="auto"/>
          <w:lang w:bidi="ar"/>
        </w:rPr>
        <w:t>县级以上人民政府负责知识产权保护的部门在作出行政裁决前，可以根据当事人的申请先行调解；调解不成的，应当依法作出行政裁决。</w:t>
      </w:r>
    </w:p>
    <w:p>
      <w:pPr>
        <w:overflowPunct w:val="0"/>
        <w:adjustRightInd w:val="0"/>
        <w:snapToGrid w:val="0"/>
        <w:spacing w:line="510" w:lineRule="exact"/>
        <w:ind w:firstLine="640" w:firstLineChars="200"/>
        <w:contextualSpacing/>
        <w:rPr>
          <w:rFonts w:ascii="仿宋_GB2312" w:hAnsi="等线" w:cs="仿宋_GB2312"/>
          <w:lang w:bidi="ar"/>
        </w:rPr>
      </w:pPr>
      <w:r>
        <w:rPr>
          <w:rFonts w:hint="eastAsia" w:ascii="黑体" w:hAnsi="宋体" w:eastAsia="黑体" w:cs="黑体"/>
          <w:lang w:bidi="ar"/>
        </w:rPr>
        <w:t>第二十九条</w:t>
      </w:r>
      <w:r>
        <w:rPr>
          <w:rFonts w:hint="eastAsia" w:ascii="楷体" w:hAnsi="楷体" w:eastAsia="楷体" w:cs="楷体"/>
          <w:lang w:bidi="ar"/>
        </w:rPr>
        <w:t xml:space="preserve">  </w:t>
      </w:r>
      <w:r>
        <w:rPr>
          <w:rFonts w:hint="eastAsia" w:ascii="仿宋_GB2312" w:hAnsi="等线" w:cs="仿宋_GB2312"/>
          <w:lang w:bidi="ar"/>
        </w:rPr>
        <w:t>鼓励设立行业性、专业性的知识产权纠纷人民调解组织，依法开展知识产权纠纷调解工作，提供便捷、高效的纠纷处理服务，引导当事人通过调解解决知识产权纠纷。</w:t>
      </w:r>
    </w:p>
    <w:p>
      <w:pPr>
        <w:pStyle w:val="12"/>
        <w:spacing w:line="510" w:lineRule="exact"/>
        <w:rPr>
          <w:rFonts w:cs="黑体"/>
          <w:shd w:val="clear" w:color="auto" w:fill="auto"/>
          <w:lang w:bidi="ar"/>
        </w:rPr>
      </w:pPr>
      <w:r>
        <w:rPr>
          <w:rFonts w:hint="eastAsia" w:ascii="仿宋_GB2312" w:hAnsi="等线" w:eastAsia="仿宋_GB2312" w:cs="仿宋_GB2312"/>
          <w:shd w:val="clear" w:color="auto" w:fill="auto"/>
          <w:lang w:bidi="ar"/>
        </w:rPr>
        <w:t>鼓励仲裁机构加强知识产权专业化建设，吸纳知识产权保护专业人才参与仲裁，发挥仲裁专业快速解决知识产权纠纷的优势，鼓励当事人运用仲裁方式解决知识产权纠纷。</w:t>
      </w:r>
    </w:p>
    <w:p>
      <w:pPr>
        <w:pStyle w:val="12"/>
        <w:spacing w:line="510" w:lineRule="exact"/>
        <w:rPr>
          <w:rFonts w:cs="黑体"/>
          <w:shd w:val="clear" w:color="auto" w:fill="auto"/>
          <w:lang w:bidi="ar"/>
        </w:rPr>
      </w:pPr>
      <w:r>
        <w:rPr>
          <w:rFonts w:hint="eastAsia" w:cs="黑体"/>
          <w:shd w:val="clear" w:color="auto" w:fill="auto"/>
          <w:lang w:bidi="ar"/>
        </w:rPr>
        <w:t xml:space="preserve">第三十条  </w:t>
      </w:r>
      <w:r>
        <w:rPr>
          <w:rFonts w:hint="eastAsia" w:ascii="仿宋_GB2312" w:hAnsi="等线" w:eastAsia="仿宋_GB2312" w:cs="仿宋_GB2312"/>
          <w:shd w:val="clear" w:color="auto" w:fill="auto"/>
          <w:lang w:bidi="ar"/>
        </w:rPr>
        <w:t>支持、鼓励企业、高等学校、科研机构建立健全知识产权保护制度，提高保护意识，加强知识产权源头保护。有条件的可以设立知识产权维权基金，增强自我保护能力。</w:t>
      </w:r>
    </w:p>
    <w:p>
      <w:pPr>
        <w:pStyle w:val="12"/>
        <w:spacing w:line="510" w:lineRule="exact"/>
        <w:rPr>
          <w:rFonts w:ascii="仿宋_GB2312" w:hAnsi="等线" w:eastAsia="仿宋_GB2312" w:cs="仿宋_GB2312"/>
          <w:shd w:val="clear" w:color="auto" w:fill="auto"/>
          <w:lang w:bidi="ar"/>
        </w:rPr>
      </w:pPr>
      <w:r>
        <w:rPr>
          <w:rFonts w:hint="eastAsia" w:cs="黑体"/>
          <w:shd w:val="clear" w:color="auto" w:fill="auto"/>
          <w:lang w:bidi="ar"/>
        </w:rPr>
        <w:t>第三十一条</w:t>
      </w:r>
      <w:r>
        <w:rPr>
          <w:rFonts w:hint="eastAsia" w:ascii="楷体" w:hAnsi="楷体" w:eastAsia="楷体" w:cs="楷体"/>
          <w:shd w:val="clear" w:color="auto" w:fill="auto"/>
          <w:lang w:bidi="ar"/>
        </w:rPr>
        <w:t xml:space="preserve">  </w:t>
      </w:r>
      <w:r>
        <w:rPr>
          <w:rFonts w:hint="eastAsia" w:ascii="仿宋_GB2312" w:hAnsi="等线" w:eastAsia="仿宋_GB2312" w:cs="仿宋_GB2312"/>
          <w:shd w:val="clear" w:color="auto" w:fill="auto"/>
          <w:lang w:bidi="ar"/>
        </w:rPr>
        <w:t>展会主办单位或者承办单位应当在展会举办期间依法保护知识产权，加强对参展方和参展项目知识产权状况的审查，并可以通过与参展方签订知识产权保护协议的方式明确双方权利义务。</w:t>
      </w:r>
    </w:p>
    <w:p>
      <w:pPr>
        <w:pStyle w:val="12"/>
        <w:spacing w:line="510" w:lineRule="exact"/>
        <w:rPr>
          <w:shd w:val="clear" w:color="auto" w:fill="auto"/>
        </w:rPr>
      </w:pPr>
      <w:r>
        <w:rPr>
          <w:rFonts w:hint="eastAsia" w:ascii="仿宋_GB2312" w:hAnsi="等线" w:eastAsia="仿宋_GB2312" w:cs="仿宋_GB2312"/>
          <w:shd w:val="clear" w:color="auto" w:fill="auto"/>
          <w:lang w:bidi="ar"/>
        </w:rPr>
        <w:t>国家规定应当设立知识产权投诉机构的展会，展会主办单位或者承办单位应当设立知识产权投诉机构，县级以上人民政府负责知识产权保护的部门应当派员进驻。</w:t>
      </w:r>
    </w:p>
    <w:p>
      <w:pPr>
        <w:pStyle w:val="12"/>
        <w:spacing w:line="510" w:lineRule="exact"/>
        <w:rPr>
          <w:rFonts w:ascii="仿宋_GB2312" w:hAnsi="等线" w:eastAsia="仿宋_GB2312" w:cs="仿宋_GB2312"/>
          <w:shd w:val="clear" w:color="auto" w:fill="auto"/>
          <w:lang w:bidi="ar"/>
        </w:rPr>
      </w:pPr>
      <w:r>
        <w:rPr>
          <w:rFonts w:hint="eastAsia" w:cs="黑体"/>
          <w:shd w:val="clear" w:color="auto" w:fill="auto"/>
          <w:lang w:bidi="ar"/>
        </w:rPr>
        <w:t>第三十二条</w:t>
      </w:r>
      <w:r>
        <w:rPr>
          <w:rFonts w:hint="eastAsia" w:ascii="楷体" w:hAnsi="楷体" w:eastAsia="楷体" w:cs="楷体"/>
          <w:shd w:val="clear" w:color="auto" w:fill="auto"/>
          <w:lang w:bidi="ar"/>
        </w:rPr>
        <w:t xml:space="preserve">  </w:t>
      </w:r>
      <w:r>
        <w:rPr>
          <w:rFonts w:hint="eastAsia" w:ascii="仿宋_GB2312" w:hAnsi="等线" w:eastAsia="仿宋_GB2312" w:cs="仿宋_GB2312"/>
          <w:shd w:val="clear" w:color="auto" w:fill="auto"/>
          <w:lang w:bidi="ar"/>
        </w:rPr>
        <w:t>电子商务平台经营者应当履行知识产权保护义务，采取必要措施，制止平台内经营者的侵权行为，配合有关部门依法查处侵权行为，处理知识产权纠纷。</w:t>
      </w:r>
    </w:p>
    <w:p>
      <w:pPr>
        <w:pStyle w:val="12"/>
        <w:spacing w:line="510" w:lineRule="exact"/>
        <w:rPr>
          <w:rFonts w:hAnsi="Calibri"/>
          <w:shd w:val="clear" w:color="auto" w:fill="auto"/>
          <w:lang w:bidi="ar"/>
        </w:rPr>
      </w:pPr>
      <w:r>
        <w:rPr>
          <w:rFonts w:hint="eastAsia" w:ascii="仿宋_GB2312" w:hAnsi="等线" w:eastAsia="仿宋_GB2312" w:cs="仿宋_GB2312"/>
          <w:shd w:val="clear" w:color="auto" w:fill="auto"/>
          <w:lang w:bidi="ar"/>
        </w:rPr>
        <w:t>鼓励电子商务平台经营者完善知识产权保护机制，为平台内经营者提供知识产权识别、投诉应对、快速维权等服务。</w:t>
      </w:r>
    </w:p>
    <w:p>
      <w:pPr>
        <w:pStyle w:val="12"/>
        <w:spacing w:line="510" w:lineRule="exact"/>
        <w:rPr>
          <w:rFonts w:ascii="仿宋_GB2312" w:hAnsi="等线" w:eastAsia="仿宋_GB2312" w:cs="仿宋_GB2312"/>
          <w:shd w:val="clear" w:color="auto" w:fill="auto"/>
          <w:lang w:bidi="ar"/>
        </w:rPr>
      </w:pPr>
      <w:r>
        <w:rPr>
          <w:rFonts w:hint="eastAsia" w:hAnsi="Calibri"/>
          <w:shd w:val="clear" w:color="auto" w:fill="auto"/>
          <w:lang w:bidi="ar"/>
        </w:rPr>
        <w:t xml:space="preserve">第三十三条  </w:t>
      </w:r>
      <w:r>
        <w:rPr>
          <w:rFonts w:hint="eastAsia" w:ascii="仿宋_GB2312" w:hAnsi="等线" w:eastAsia="仿宋_GB2312" w:cs="仿宋_GB2312"/>
          <w:shd w:val="clear" w:color="auto" w:fill="auto"/>
          <w:lang w:bidi="ar"/>
        </w:rPr>
        <w:t>专业市场主办方应当健全知识产权保护机制，通过制定保护规则、设立纠纷快速处理平台、开展相关宣传培训等方式，增强商户知识产权保护意识，积极防范和调处知识产权纠纷。</w:t>
      </w:r>
    </w:p>
    <w:p>
      <w:pPr>
        <w:pStyle w:val="12"/>
        <w:spacing w:line="510" w:lineRule="exact"/>
        <w:rPr>
          <w:rFonts w:hAnsi="Calibri"/>
          <w:shd w:val="clear" w:color="auto" w:fill="auto"/>
        </w:rPr>
      </w:pPr>
    </w:p>
    <w:p>
      <w:pPr>
        <w:overflowPunct w:val="0"/>
        <w:adjustRightInd w:val="0"/>
        <w:snapToGrid w:val="0"/>
        <w:spacing w:line="510" w:lineRule="exact"/>
        <w:contextualSpacing/>
        <w:jc w:val="center"/>
        <w:rPr>
          <w:rFonts w:ascii="黑体" w:hAnsi="黑体" w:eastAsia="黑体" w:cs="宋体"/>
          <w:lang w:bidi="ar"/>
        </w:rPr>
      </w:pPr>
      <w:r>
        <w:rPr>
          <w:rFonts w:hint="eastAsia" w:ascii="黑体" w:hAnsi="黑体" w:eastAsia="黑体" w:cs="宋体"/>
          <w:lang w:bidi="ar"/>
        </w:rPr>
        <w:t>第四章  管理与服务</w:t>
      </w:r>
    </w:p>
    <w:p>
      <w:pPr>
        <w:overflowPunct w:val="0"/>
        <w:adjustRightInd w:val="0"/>
        <w:snapToGrid w:val="0"/>
        <w:spacing w:line="510" w:lineRule="exact"/>
        <w:ind w:firstLine="640" w:firstLineChars="200"/>
        <w:contextualSpacing/>
        <w:jc w:val="left"/>
        <w:rPr>
          <w:rFonts w:ascii="黑体" w:hAnsi="宋体" w:eastAsia="黑体" w:cs="黑体"/>
          <w:shd w:val="clear" w:color="auto" w:fill="FFFFFF"/>
          <w:lang w:bidi="ar"/>
        </w:rPr>
      </w:pPr>
    </w:p>
    <w:p>
      <w:pPr>
        <w:overflowPunct w:val="0"/>
        <w:adjustRightInd w:val="0"/>
        <w:snapToGrid w:val="0"/>
        <w:spacing w:line="510" w:lineRule="exact"/>
        <w:ind w:firstLine="640" w:firstLineChars="200"/>
        <w:contextualSpacing/>
        <w:jc w:val="left"/>
        <w:rPr>
          <w:rFonts w:ascii="黑体" w:hAnsi="黑体" w:eastAsia="黑体" w:cs="仿宋_GB2312"/>
          <w:shd w:val="clear" w:color="auto" w:fill="FFFFFF"/>
          <w:lang w:bidi="ar"/>
        </w:rPr>
      </w:pPr>
      <w:r>
        <w:rPr>
          <w:rFonts w:hint="eastAsia" w:ascii="黑体" w:hAnsi="宋体" w:eastAsia="黑体" w:cs="黑体"/>
          <w:shd w:val="clear" w:color="auto" w:fill="FFFFFF"/>
          <w:lang w:bidi="ar"/>
        </w:rPr>
        <w:t>第三十四条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县级以上人民政府应当综合运用财政、税收、投资、产业、科技、人才等政策，为知识产权创造、运用和保护提供指导和服务。</w:t>
      </w:r>
    </w:p>
    <w:p>
      <w:pPr>
        <w:overflowPunct w:val="0"/>
        <w:adjustRightInd w:val="0"/>
        <w:snapToGrid w:val="0"/>
        <w:spacing w:line="510" w:lineRule="exact"/>
        <w:ind w:firstLine="640" w:firstLineChars="200"/>
        <w:contextualSpacing/>
        <w:jc w:val="left"/>
        <w:rPr>
          <w:rFonts w:ascii="仿宋_GB2312" w:hAnsi="宋体" w:cs="仿宋_GB2312"/>
          <w:shd w:val="clear" w:color="auto" w:fill="FFFFFF"/>
          <w:lang w:bidi="ar"/>
        </w:rPr>
      </w:pPr>
      <w:r>
        <w:rPr>
          <w:rFonts w:hint="eastAsia" w:ascii="仿宋_GB2312" w:hAnsi="宋体" w:cs="仿宋_GB2312"/>
          <w:shd w:val="clear" w:color="auto" w:fill="FFFFFF"/>
          <w:lang w:bidi="ar"/>
        </w:rPr>
        <w:t>县级以上人民政府应当促进区域知识产权协调发展，支持开展知识产权试点工作，培育具有市场竞争力的知识产权优势企业。</w:t>
      </w:r>
    </w:p>
    <w:p>
      <w:pPr>
        <w:shd w:val="clear" w:color="auto" w:fill="FFFFFF"/>
        <w:overflowPunct w:val="0"/>
        <w:adjustRightInd w:val="0"/>
        <w:snapToGrid w:val="0"/>
        <w:spacing w:line="510" w:lineRule="exact"/>
        <w:ind w:firstLine="640" w:firstLineChars="200"/>
        <w:contextualSpacing/>
        <w:rPr>
          <w:rFonts w:ascii="仿宋_GB2312" w:hAnsi="宋体" w:cs="Arial"/>
          <w:shd w:val="clear" w:color="auto" w:fill="FFFFFF"/>
        </w:rPr>
      </w:pPr>
      <w:r>
        <w:rPr>
          <w:rFonts w:hint="eastAsia" w:ascii="黑体" w:hAnsi="宋体" w:eastAsia="黑体" w:cs="黑体"/>
          <w:shd w:val="clear" w:color="auto" w:fill="FFFFFF"/>
          <w:lang w:bidi="ar"/>
        </w:rPr>
        <w:t>第三十五条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县级以上人民政府应当在本级年度财政预算中安排资金，用于知识产权信息化建设、人才培养、项目资助和奖励等事项。</w:t>
      </w:r>
    </w:p>
    <w:p>
      <w:pPr>
        <w:shd w:val="clear" w:color="auto" w:fill="FFFFFF"/>
        <w:overflowPunct w:val="0"/>
        <w:adjustRightInd w:val="0"/>
        <w:snapToGrid w:val="0"/>
        <w:spacing w:line="510" w:lineRule="exact"/>
        <w:ind w:firstLine="640" w:firstLineChars="200"/>
        <w:contextualSpacing/>
        <w:rPr>
          <w:rFonts w:ascii="仿宋_GB2312" w:hAnsi="Calibri"/>
          <w:shd w:val="clear" w:color="auto" w:fill="FFFFFF"/>
        </w:rPr>
      </w:pPr>
      <w:r>
        <w:rPr>
          <w:rFonts w:hint="eastAsia" w:ascii="黑体" w:hAnsi="宋体" w:eastAsia="黑体" w:cs="黑体"/>
          <w:shd w:val="clear" w:color="auto" w:fill="FFFFFF"/>
          <w:lang w:bidi="ar"/>
        </w:rPr>
        <w:t>第三十六条</w:t>
      </w:r>
      <w:r>
        <w:rPr>
          <w:rFonts w:hint="eastAsia" w:ascii="楷体" w:hAnsi="楷体" w:eastAsia="楷体" w:cs="楷体"/>
          <w:shd w:val="clear" w:color="auto" w:fill="FFFFFF"/>
          <w:lang w:bidi="ar"/>
        </w:rPr>
        <w:t xml:space="preserve">  </w:t>
      </w:r>
      <w:r>
        <w:rPr>
          <w:rFonts w:hint="eastAsia" w:ascii="仿宋_GB2312" w:hAnsi="Calibri" w:cs="仿宋_GB2312"/>
          <w:shd w:val="clear" w:color="auto" w:fill="FFFFFF"/>
          <w:lang w:bidi="ar"/>
        </w:rPr>
        <w:t>知识产权权利人转让或者许可使用知识产权所得，以及从事与该知识产权相关的技术咨询、技术服务等取得的收入，按照国家规定享受有关税收优惠。</w:t>
      </w:r>
    </w:p>
    <w:p>
      <w:pPr>
        <w:shd w:val="clear" w:color="auto" w:fill="FFFFFF"/>
        <w:overflowPunct w:val="0"/>
        <w:adjustRightInd w:val="0"/>
        <w:snapToGrid w:val="0"/>
        <w:spacing w:line="510" w:lineRule="exact"/>
        <w:ind w:firstLine="640" w:firstLineChars="200"/>
        <w:contextualSpacing/>
        <w:rPr>
          <w:rFonts w:ascii="仿宋_GB2312" w:hAnsi="Calibri"/>
          <w:shd w:val="clear" w:color="auto" w:fill="FFFFFF"/>
        </w:rPr>
      </w:pPr>
      <w:r>
        <w:rPr>
          <w:rFonts w:hint="eastAsia" w:ascii="黑体" w:hAnsi="宋体" w:eastAsia="黑体" w:cs="黑体"/>
          <w:shd w:val="clear" w:color="auto" w:fill="FFFFFF"/>
          <w:lang w:bidi="ar"/>
        </w:rPr>
        <w:t>第三十七条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县级以上人民政府应当建立并完善知识产权评议制度，在重大产业规划、重大政府投资项目和重大科技创新项目立项前，组织有关部门对项目所涉及的知识产权状况进行分析、评估，防范知识产权风险。</w:t>
      </w:r>
    </w:p>
    <w:p>
      <w:pPr>
        <w:shd w:val="clear" w:color="auto" w:fill="FFFFFF"/>
        <w:overflowPunct w:val="0"/>
        <w:adjustRightInd w:val="0"/>
        <w:snapToGrid w:val="0"/>
        <w:spacing w:line="510" w:lineRule="exact"/>
        <w:ind w:firstLine="640" w:firstLineChars="200"/>
        <w:contextualSpacing/>
        <w:rPr>
          <w:rFonts w:ascii="仿宋_GB2312" w:hAnsi="Calibri"/>
          <w:shd w:val="clear" w:color="auto" w:fill="FFFFFF"/>
        </w:rPr>
      </w:pPr>
      <w:r>
        <w:rPr>
          <w:rFonts w:hint="eastAsia" w:ascii="黑体" w:hAnsi="宋体" w:eastAsia="黑体" w:cs="黑体"/>
          <w:shd w:val="clear" w:color="auto" w:fill="FFFFFF"/>
          <w:lang w:bidi="ar"/>
        </w:rPr>
        <w:t>第三十八条</w:t>
      </w:r>
      <w:r>
        <w:rPr>
          <w:rFonts w:hint="eastAsia" w:ascii="楷体" w:hAnsi="楷体" w:eastAsia="楷体" w:cs="楷体"/>
          <w:shd w:val="clear" w:color="auto" w:fill="FFFFFF"/>
          <w:lang w:bidi="ar"/>
        </w:rPr>
        <w:t xml:space="preserve">  </w:t>
      </w:r>
      <w:r>
        <w:rPr>
          <w:rFonts w:hint="eastAsia" w:ascii="仿宋_GB2312" w:hAnsi="Calibri" w:cs="仿宋_GB2312"/>
          <w:shd w:val="clear" w:color="auto" w:fill="FFFFFF"/>
          <w:lang w:bidi="ar"/>
        </w:rPr>
        <w:t>省人民政府市场监督管理部门应当会同有关部门建立知识产权对外合作交流机制，构建与国际接轨的知识产权保护</w:t>
      </w:r>
      <w:r>
        <w:rPr>
          <w:rFonts w:hint="eastAsia" w:ascii="仿宋_GB2312" w:hAnsi="宋体" w:cs="仿宋_GB2312"/>
          <w:shd w:val="clear" w:color="auto" w:fill="FFFFFF"/>
          <w:lang w:bidi="ar"/>
        </w:rPr>
        <w:t>和促进</w:t>
      </w:r>
      <w:r>
        <w:rPr>
          <w:rFonts w:hint="eastAsia" w:ascii="仿宋_GB2312" w:hAnsi="Calibri" w:cs="仿宋_GB2312"/>
          <w:shd w:val="clear" w:color="auto" w:fill="FFFFFF"/>
          <w:lang w:bidi="ar"/>
        </w:rPr>
        <w:t>体系。</w:t>
      </w:r>
    </w:p>
    <w:p>
      <w:pPr>
        <w:shd w:val="clear" w:color="auto" w:fill="FFFFFF"/>
        <w:overflowPunct w:val="0"/>
        <w:adjustRightInd w:val="0"/>
        <w:snapToGrid w:val="0"/>
        <w:spacing w:line="510" w:lineRule="exact"/>
        <w:ind w:firstLine="640" w:firstLineChars="200"/>
        <w:contextualSpacing/>
        <w:rPr>
          <w:rFonts w:ascii="仿宋_GB2312" w:hAnsi="宋体" w:cs="Arial"/>
          <w:shd w:val="clear" w:color="auto" w:fill="FFFFFF"/>
        </w:rPr>
      </w:pPr>
      <w:r>
        <w:rPr>
          <w:rFonts w:hint="eastAsia" w:ascii="仿宋_GB2312" w:hAnsi="宋体" w:cs="仿宋_GB2312"/>
          <w:shd w:val="clear" w:color="auto" w:fill="FFFFFF"/>
          <w:lang w:bidi="ar"/>
        </w:rPr>
        <w:t>鼓励企业、高等学校、科研机构以及其他组织参与知识产权国际交流和规则标准制定，加强海外知识产权布局，提升国际竞争能力。</w:t>
      </w:r>
    </w:p>
    <w:p>
      <w:pPr>
        <w:shd w:val="clear" w:color="auto" w:fill="FFFFFF"/>
        <w:overflowPunct w:val="0"/>
        <w:adjustRightInd w:val="0"/>
        <w:snapToGrid w:val="0"/>
        <w:spacing w:line="510" w:lineRule="exact"/>
        <w:ind w:firstLine="640" w:firstLineChars="200"/>
        <w:contextualSpacing/>
        <w:rPr>
          <w:rFonts w:ascii="仿宋_GB2312" w:hAnsi="Arial" w:cs="Arial"/>
          <w:shd w:val="clear" w:color="auto" w:fill="FFFFFF"/>
        </w:rPr>
      </w:pPr>
      <w:r>
        <w:rPr>
          <w:rFonts w:hint="eastAsia" w:ascii="黑体" w:hAnsi="宋体" w:eastAsia="黑体" w:cs="黑体"/>
          <w:shd w:val="clear" w:color="auto" w:fill="FFFFFF"/>
          <w:lang w:bidi="ar"/>
        </w:rPr>
        <w:t>第三十九条</w:t>
      </w:r>
      <w:r>
        <w:rPr>
          <w:rFonts w:hint="eastAsia" w:ascii="楷体" w:hAnsi="楷体" w:eastAsia="楷体" w:cs="楷体"/>
          <w:shd w:val="clear" w:color="auto" w:fill="FFFFFF"/>
          <w:lang w:bidi="ar"/>
        </w:rPr>
        <w:t xml:space="preserve">  </w:t>
      </w:r>
      <w:r>
        <w:rPr>
          <w:rFonts w:hint="eastAsia" w:ascii="仿宋_GB2312" w:hAnsi="Arial" w:cs="仿宋_GB2312"/>
          <w:shd w:val="clear" w:color="auto" w:fill="FFFFFF"/>
          <w:lang w:bidi="ar"/>
        </w:rPr>
        <w:t>省和设区的市人民政府负责知识产权保护的部门应当会同有关部门和单位，建立健全海外知识产权风险预警防范机制，跟踪具有重大影响的国际知识产权事件以及国外知识产权法律制度变化等情况，及时发布风险预警。</w:t>
      </w:r>
    </w:p>
    <w:p>
      <w:pPr>
        <w:shd w:val="clear" w:color="auto" w:fill="FFFFFF"/>
        <w:overflowPunct w:val="0"/>
        <w:adjustRightInd w:val="0"/>
        <w:snapToGrid w:val="0"/>
        <w:spacing w:line="510" w:lineRule="exact"/>
        <w:ind w:firstLine="640" w:firstLineChars="200"/>
        <w:contextualSpacing/>
        <w:rPr>
          <w:rFonts w:ascii="仿宋_GB2312" w:hAnsi="Arial" w:cs="Arial"/>
          <w:shd w:val="clear" w:color="auto" w:fill="FFFFFF"/>
        </w:rPr>
      </w:pPr>
      <w:r>
        <w:rPr>
          <w:rFonts w:hint="eastAsia" w:ascii="仿宋_GB2312" w:hAnsi="Arial" w:cs="仿宋_GB2312"/>
          <w:shd w:val="clear" w:color="auto" w:fill="FFFFFF"/>
          <w:lang w:bidi="ar"/>
        </w:rPr>
        <w:t>省人民政府负责知识产权保护的部门应当按照有关规定，加强对涉及国家安全以及重要领域核心关键技术知识产权对外转让审查，规范知识产权对外转让行为，维护国家安全、国家利益和重大社会公共利益。</w:t>
      </w:r>
    </w:p>
    <w:p>
      <w:pPr>
        <w:overflowPunct w:val="0"/>
        <w:adjustRightInd w:val="0"/>
        <w:snapToGrid w:val="0"/>
        <w:spacing w:line="510" w:lineRule="exact"/>
        <w:ind w:firstLine="640" w:firstLineChars="200"/>
        <w:contextualSpacing/>
        <w:rPr>
          <w:rFonts w:ascii="仿宋_GB2312" w:hAnsi="宋体" w:cs="Arial"/>
        </w:rPr>
      </w:pPr>
      <w:r>
        <w:rPr>
          <w:rFonts w:hint="eastAsia" w:ascii="黑体" w:hAnsi="宋体" w:eastAsia="黑体" w:cs="黑体"/>
          <w:lang w:bidi="ar"/>
        </w:rPr>
        <w:t>第四十条</w:t>
      </w:r>
      <w:r>
        <w:rPr>
          <w:rFonts w:hint="eastAsia" w:ascii="仿宋_GB2312" w:hAnsi="宋体" w:cs="仿宋_GB2312"/>
          <w:lang w:bidi="ar"/>
        </w:rPr>
        <w:t xml:space="preserve">  县级以上人民政府应当加强知识产权公共服务平台建设，为社会公众提供知识产权转移转化、政策指导、检索查询、维权援助等服务，推动知识产权业务一网通办，促进知识产权信息的共享开放和有效利用。</w:t>
      </w:r>
    </w:p>
    <w:p>
      <w:pPr>
        <w:shd w:val="clear" w:color="auto" w:fill="FFFFFF"/>
        <w:overflowPunct w:val="0"/>
        <w:adjustRightInd w:val="0"/>
        <w:snapToGrid w:val="0"/>
        <w:spacing w:line="510" w:lineRule="exact"/>
        <w:ind w:firstLine="640" w:firstLineChars="200"/>
        <w:contextualSpacing/>
        <w:rPr>
          <w:rFonts w:ascii="仿宋_GB2312" w:hAnsi="宋体" w:cs="Arial"/>
          <w:shd w:val="clear" w:color="auto" w:fill="FFFFFF"/>
        </w:rPr>
      </w:pPr>
      <w:r>
        <w:rPr>
          <w:rFonts w:hint="eastAsia" w:ascii="黑体" w:hAnsi="宋体" w:eastAsia="黑体" w:cs="黑体"/>
          <w:shd w:val="clear" w:color="auto" w:fill="FFFFFF"/>
          <w:lang w:bidi="ar"/>
        </w:rPr>
        <w:t>第四十一条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县级以上人民政府应当采取措施，支持知识产权代理、鉴定、运营、评估、咨询、培训、信息利用等知识产权服务机构发展；鼓励有条件的地方建立知识产权服务业集聚区，推动形成社会化、专业化知识产权服务体系。</w:t>
      </w:r>
    </w:p>
    <w:p>
      <w:pPr>
        <w:shd w:val="clear" w:color="auto" w:fill="FFFFFF"/>
        <w:overflowPunct w:val="0"/>
        <w:adjustRightInd w:val="0"/>
        <w:snapToGrid w:val="0"/>
        <w:spacing w:line="510" w:lineRule="exact"/>
        <w:ind w:firstLine="640" w:firstLineChars="200"/>
        <w:contextualSpacing/>
        <w:rPr>
          <w:rFonts w:ascii="仿宋_GB2312" w:hAnsi="宋体" w:cs="Arial"/>
          <w:shd w:val="clear" w:color="auto" w:fill="FFFFFF"/>
        </w:rPr>
      </w:pPr>
      <w:r>
        <w:rPr>
          <w:rFonts w:hint="eastAsia" w:ascii="仿宋_GB2312" w:hAnsi="宋体" w:cs="仿宋_GB2312"/>
          <w:shd w:val="clear" w:color="auto" w:fill="FFFFFF"/>
          <w:lang w:bidi="ar"/>
        </w:rPr>
        <w:t>县级以上人民政府负责知识产权保护的部门应当完善知识产权服务业监管服务机制，引导知识产权服务机构加强自律管理，提高知识产权服务水平，维护公平竞争的市场秩序。</w:t>
      </w:r>
    </w:p>
    <w:p>
      <w:pPr>
        <w:shd w:val="clear" w:color="auto" w:fill="FFFFFF"/>
        <w:overflowPunct w:val="0"/>
        <w:adjustRightInd w:val="0"/>
        <w:snapToGrid w:val="0"/>
        <w:spacing w:line="510" w:lineRule="exact"/>
        <w:ind w:firstLine="640" w:firstLineChars="200"/>
        <w:contextualSpacing/>
        <w:rPr>
          <w:rFonts w:ascii="仿宋_GB2312" w:hAnsi="宋体" w:cs="仿宋_GB2312"/>
          <w:shd w:val="clear" w:color="auto" w:fill="FFFFFF"/>
          <w:lang w:bidi="ar"/>
        </w:rPr>
      </w:pPr>
      <w:r>
        <w:rPr>
          <w:rFonts w:hint="eastAsia" w:ascii="黑体" w:hAnsi="宋体" w:eastAsia="黑体" w:cs="黑体"/>
          <w:shd w:val="clear" w:color="auto" w:fill="FFFFFF"/>
          <w:lang w:bidi="ar"/>
        </w:rPr>
        <w:t>第四十二条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县级以上人民政府应当加强知识产权人才培养，鼓励和支持企业、高等学校、科研机构以及其他组织开展知识产权培训，支持有条件的地方建设知识产权专业人才培养基地。</w:t>
      </w:r>
    </w:p>
    <w:p>
      <w:pPr>
        <w:shd w:val="clear" w:color="auto" w:fill="FFFFFF"/>
        <w:overflowPunct w:val="0"/>
        <w:adjustRightInd w:val="0"/>
        <w:snapToGrid w:val="0"/>
        <w:spacing w:line="510" w:lineRule="exact"/>
        <w:ind w:firstLine="640" w:firstLineChars="200"/>
        <w:contextualSpacing/>
        <w:rPr>
          <w:rFonts w:ascii="仿宋_GB2312" w:hAnsi="宋体" w:cs="Arial"/>
          <w:shd w:val="clear" w:color="auto" w:fill="FFFFFF"/>
        </w:rPr>
      </w:pPr>
      <w:r>
        <w:rPr>
          <w:rFonts w:hint="eastAsia" w:ascii="仿宋_GB2312" w:hAnsi="宋体" w:cs="仿宋_GB2312"/>
          <w:shd w:val="clear" w:color="auto" w:fill="FFFFFF"/>
          <w:lang w:bidi="ar"/>
        </w:rPr>
        <w:t>县级以上人民政府有关部门和单位应当完善激励自主创新的人才考核评价制度，将知识产权的创造、运用作为专业技术职称评定和岗位聘用的重要条件。</w:t>
      </w:r>
    </w:p>
    <w:p>
      <w:pPr>
        <w:pStyle w:val="12"/>
        <w:spacing w:line="510" w:lineRule="exact"/>
        <w:rPr>
          <w:rFonts w:ascii="仿宋_GB2312" w:hAnsi="宋体" w:eastAsia="仿宋_GB2312" w:cs="仿宋_GB2312"/>
          <w:lang w:bidi="ar"/>
        </w:rPr>
      </w:pPr>
      <w:r>
        <w:rPr>
          <w:rFonts w:hint="eastAsia" w:hAnsi="宋体" w:cs="黑体"/>
          <w:lang w:bidi="ar"/>
        </w:rPr>
        <w:t>第四十三条</w:t>
      </w:r>
      <w:r>
        <w:rPr>
          <w:rFonts w:hint="eastAsia" w:ascii="楷体" w:hAnsi="楷体" w:eastAsia="楷体" w:cs="楷体"/>
          <w:lang w:bidi="ar"/>
        </w:rPr>
        <w:t xml:space="preserve">  </w:t>
      </w:r>
      <w:r>
        <w:rPr>
          <w:rFonts w:hint="eastAsia" w:ascii="仿宋_GB2312" w:hAnsi="宋体" w:eastAsia="仿宋_GB2312" w:cs="仿宋_GB2312"/>
          <w:lang w:bidi="ar"/>
        </w:rPr>
        <w:t>战略性新兴产业、知识产权密集型产业集聚的产业园区应当发挥示范引领作用，健全知识产权服务体系，推进知识产权综合管理改革，为园区内企业知识产权创造、运用、维权提供便利化服务。</w:t>
      </w:r>
    </w:p>
    <w:p>
      <w:pPr>
        <w:pStyle w:val="12"/>
        <w:spacing w:line="510" w:lineRule="exact"/>
      </w:pPr>
      <w:r>
        <w:rPr>
          <w:rFonts w:hint="eastAsia" w:ascii="仿宋_GB2312" w:hAnsi="宋体" w:eastAsia="仿宋_GB2312" w:cs="仿宋_GB2312"/>
          <w:lang w:bidi="ar"/>
        </w:rPr>
        <w:t>产业园区所在地县级以上人民政府应当根据当地产业发展需求，推动知识产权快速审查服务能力建设，优化重点技术领域知识产权授权、确权和维权服务。</w:t>
      </w:r>
    </w:p>
    <w:p>
      <w:pPr>
        <w:pStyle w:val="12"/>
        <w:spacing w:line="510" w:lineRule="exact"/>
      </w:pPr>
      <w:r>
        <w:rPr>
          <w:rFonts w:hint="eastAsia"/>
        </w:rPr>
        <w:t xml:space="preserve">第四十四条  </w:t>
      </w:r>
      <w:r>
        <w:rPr>
          <w:rFonts w:hint="eastAsia" w:ascii="仿宋_GB2312" w:hAnsi="宋体" w:eastAsia="仿宋_GB2312" w:cs="仿宋_GB2312"/>
          <w:lang w:bidi="ar"/>
        </w:rPr>
        <w:t>对各级国有企业履行出资人职责的机构应当加强对所出资企业知识产权工作的指导，提高国有企业知识产权保护和促进工作水平。</w:t>
      </w:r>
    </w:p>
    <w:p>
      <w:pPr>
        <w:shd w:val="clear" w:color="auto" w:fill="FFFFFF"/>
        <w:overflowPunct w:val="0"/>
        <w:adjustRightInd w:val="0"/>
        <w:snapToGrid w:val="0"/>
        <w:spacing w:line="510" w:lineRule="exact"/>
        <w:ind w:firstLine="640" w:firstLineChars="200"/>
        <w:contextualSpacing/>
        <w:rPr>
          <w:rFonts w:ascii="仿宋_GB2312" w:hAnsi="Calibri"/>
          <w:shd w:val="clear" w:color="auto" w:fill="FFFFFF"/>
        </w:rPr>
      </w:pPr>
      <w:r>
        <w:rPr>
          <w:rFonts w:hint="eastAsia" w:ascii="黑体" w:hAnsi="宋体" w:eastAsia="黑体" w:cs="黑体"/>
          <w:shd w:val="clear" w:color="auto" w:fill="FFFFFF"/>
          <w:lang w:bidi="ar"/>
        </w:rPr>
        <w:t>第四十五条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支持高等学校开设知识产权课程、设立知识产权专业、成立</w:t>
      </w:r>
      <w:r>
        <w:rPr>
          <w:rFonts w:hint="eastAsia" w:ascii="仿宋_GB2312" w:hAnsi="Calibri" w:cs="仿宋_GB2312"/>
          <w:shd w:val="clear" w:color="auto" w:fill="FFFFFF"/>
          <w:lang w:bidi="ar"/>
        </w:rPr>
        <w:t>知识产权研究机构，鼓励中小学校开展知识产权普及教育，培养学生知识产权保护和创新意识，提高学生创造能力。</w:t>
      </w:r>
    </w:p>
    <w:p>
      <w:pPr>
        <w:shd w:val="clear" w:color="auto" w:fill="FFFFFF"/>
        <w:overflowPunct w:val="0"/>
        <w:adjustRightInd w:val="0"/>
        <w:snapToGrid w:val="0"/>
        <w:spacing w:line="510" w:lineRule="exact"/>
        <w:ind w:firstLine="584" w:firstLineChars="200"/>
        <w:contextualSpacing/>
        <w:rPr>
          <w:rFonts w:ascii="黑体" w:hAnsi="黑体" w:eastAsia="黑体" w:cs="宋体"/>
          <w:lang w:bidi="ar"/>
        </w:rPr>
      </w:pPr>
      <w:r>
        <w:rPr>
          <w:rFonts w:hint="eastAsia" w:ascii="仿宋_GB2312" w:hAnsi="宋体" w:cs="仿宋_GB2312"/>
          <w:spacing w:val="-14"/>
          <w:shd w:val="clear" w:color="auto" w:fill="FFFFFF"/>
          <w:lang w:bidi="ar"/>
        </w:rPr>
        <w:t>鼓励在校学生开展知识产权创造活动，并按照有关规定给予激</w:t>
      </w:r>
      <w:r>
        <w:rPr>
          <w:rFonts w:hint="eastAsia" w:ascii="仿宋_GB2312" w:hAnsi="宋体" w:cs="仿宋_GB2312"/>
          <w:shd w:val="clear" w:color="auto" w:fill="FFFFFF"/>
          <w:lang w:bidi="ar"/>
        </w:rPr>
        <w:t>励。</w:t>
      </w:r>
    </w:p>
    <w:p>
      <w:pPr>
        <w:overflowPunct w:val="0"/>
        <w:adjustRightInd w:val="0"/>
        <w:snapToGrid w:val="0"/>
        <w:spacing w:line="510" w:lineRule="exact"/>
        <w:contextualSpacing/>
        <w:jc w:val="center"/>
        <w:rPr>
          <w:rFonts w:ascii="黑体" w:hAnsi="黑体" w:eastAsia="黑体" w:cs="宋体"/>
          <w:lang w:bidi="ar"/>
        </w:rPr>
      </w:pPr>
    </w:p>
    <w:p>
      <w:pPr>
        <w:overflowPunct w:val="0"/>
        <w:adjustRightInd w:val="0"/>
        <w:snapToGrid w:val="0"/>
        <w:spacing w:line="510" w:lineRule="exact"/>
        <w:contextualSpacing/>
        <w:jc w:val="center"/>
        <w:rPr>
          <w:rFonts w:ascii="黑体" w:hAnsi="黑体" w:eastAsia="黑体" w:cs="宋体"/>
          <w:lang w:bidi="ar"/>
        </w:rPr>
      </w:pPr>
      <w:r>
        <w:rPr>
          <w:rFonts w:hint="eastAsia" w:ascii="黑体" w:hAnsi="黑体" w:eastAsia="黑体" w:cs="宋体"/>
          <w:lang w:bidi="ar"/>
        </w:rPr>
        <w:t>第五章  法律责任</w:t>
      </w:r>
    </w:p>
    <w:p>
      <w:pPr>
        <w:pStyle w:val="3"/>
        <w:keepNext w:val="0"/>
        <w:keepLines w:val="0"/>
        <w:spacing w:before="0" w:after="0" w:line="510" w:lineRule="exact"/>
        <w:rPr>
          <w:lang w:bidi="ar"/>
        </w:rPr>
      </w:pPr>
    </w:p>
    <w:p>
      <w:pPr>
        <w:overflowPunct w:val="0"/>
        <w:adjustRightInd w:val="0"/>
        <w:snapToGrid w:val="0"/>
        <w:spacing w:line="510" w:lineRule="exact"/>
        <w:ind w:firstLine="640" w:firstLineChars="200"/>
        <w:contextualSpacing/>
        <w:jc w:val="left"/>
        <w:rPr>
          <w:rFonts w:ascii="仿宋_GB2312" w:hAnsi="仿宋" w:cs="Arial"/>
          <w:shd w:val="clear" w:color="auto" w:fill="FFFFFF"/>
        </w:rPr>
      </w:pPr>
      <w:r>
        <w:rPr>
          <w:rFonts w:hint="eastAsia" w:ascii="黑体" w:hAnsi="宋体" w:eastAsia="黑体" w:cs="黑体"/>
          <w:shd w:val="clear" w:color="auto" w:fill="FFFFFF"/>
          <w:lang w:bidi="ar"/>
        </w:rPr>
        <w:t>第四十六条</w:t>
      </w:r>
      <w:r>
        <w:rPr>
          <w:rFonts w:hint="eastAsia" w:ascii="楷体" w:hAnsi="楷体" w:eastAsia="楷体" w:cs="楷体"/>
          <w:shd w:val="clear" w:color="auto" w:fill="FFFFFF"/>
          <w:lang w:bidi="ar"/>
        </w:rPr>
        <w:t xml:space="preserve">  </w:t>
      </w:r>
      <w:r>
        <w:rPr>
          <w:rFonts w:hint="eastAsia" w:ascii="仿宋_GB2312" w:hAnsi="仿宋" w:cs="仿宋_GB2312"/>
          <w:shd w:val="clear" w:color="auto" w:fill="FFFFFF"/>
          <w:lang w:bidi="ar"/>
        </w:rPr>
        <w:t>违反本条例规定的行为，法律、行政法规已经规定法律责任的，适用其规定。</w:t>
      </w:r>
    </w:p>
    <w:p>
      <w:pPr>
        <w:shd w:val="clear" w:color="auto" w:fill="FFFFFF"/>
        <w:overflowPunct w:val="0"/>
        <w:adjustRightInd w:val="0"/>
        <w:snapToGrid w:val="0"/>
        <w:spacing w:line="510" w:lineRule="exact"/>
        <w:ind w:firstLine="640" w:firstLineChars="200"/>
        <w:contextualSpacing/>
        <w:rPr>
          <w:rFonts w:ascii="仿宋_GB2312" w:hAnsi="宋体" w:cs="Arial"/>
          <w:shd w:val="clear" w:color="auto" w:fill="FFFFFF"/>
        </w:rPr>
      </w:pPr>
      <w:r>
        <w:rPr>
          <w:rFonts w:hint="eastAsia" w:ascii="黑体" w:hAnsi="宋体" w:eastAsia="黑体" w:cs="黑体"/>
          <w:shd w:val="clear" w:color="auto" w:fill="FFFFFF"/>
          <w:lang w:bidi="ar"/>
        </w:rPr>
        <w:t>第四十七条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各级人民政府和有关部门及其工作人员在知识产权保护和促进工作中滥用职权、玩忽职守、徇私舞弊的，对直接负责的主管人员和其他直接责任人员依法给予处分；构成犯罪的，依法追究刑事责任。</w:t>
      </w:r>
    </w:p>
    <w:p>
      <w:pPr>
        <w:shd w:val="clear" w:color="auto" w:fill="FFFFFF"/>
        <w:overflowPunct w:val="0"/>
        <w:adjustRightInd w:val="0"/>
        <w:snapToGrid w:val="0"/>
        <w:spacing w:line="510" w:lineRule="exact"/>
        <w:ind w:firstLine="640" w:firstLineChars="200"/>
        <w:contextualSpacing/>
        <w:rPr>
          <w:rFonts w:ascii="仿宋_GB2312" w:hAnsi="宋体" w:cs="Arial"/>
          <w:shd w:val="clear" w:color="auto" w:fill="FFFFFF"/>
        </w:rPr>
      </w:pPr>
      <w:r>
        <w:rPr>
          <w:rFonts w:hint="eastAsia" w:ascii="黑体" w:hAnsi="宋体" w:eastAsia="黑体" w:cs="黑体"/>
          <w:shd w:val="clear" w:color="auto" w:fill="FFFFFF"/>
          <w:lang w:bidi="ar"/>
        </w:rPr>
        <w:t>第四十八条</w:t>
      </w:r>
      <w:r>
        <w:rPr>
          <w:rFonts w:hint="eastAsia" w:ascii="楷体" w:hAnsi="楷体" w:eastAsia="楷体" w:cs="楷体"/>
          <w:shd w:val="clear" w:color="auto" w:fill="FFFFFF"/>
          <w:lang w:bidi="ar"/>
        </w:rPr>
        <w:t xml:space="preserve">  </w:t>
      </w:r>
      <w:r>
        <w:rPr>
          <w:rFonts w:hint="eastAsia" w:ascii="仿宋_GB2312" w:hAnsi="宋体" w:cs="仿宋_GB2312"/>
          <w:shd w:val="clear" w:color="auto" w:fill="FFFFFF"/>
          <w:lang w:bidi="ar"/>
        </w:rPr>
        <w:t>有关单位和个人在知识产权保护和促进工作中，出现偏差失误或者未能实现预期目标，但是符合国家确定的改革方向，决策程序符合法律、法规规定，未牟取私利或者未恶意串通损害国家利益、公共利益的，按照有关规定从轻、减轻或者免予追责。</w:t>
      </w:r>
    </w:p>
    <w:p>
      <w:pPr>
        <w:shd w:val="clear" w:color="auto" w:fill="FFFFFF"/>
        <w:overflowPunct w:val="0"/>
        <w:adjustRightInd w:val="0"/>
        <w:snapToGrid w:val="0"/>
        <w:spacing w:line="510" w:lineRule="exact"/>
        <w:ind w:firstLine="640" w:firstLineChars="200"/>
        <w:contextualSpacing/>
        <w:rPr>
          <w:rFonts w:ascii="黑体" w:hAnsi="黑体" w:eastAsia="黑体" w:cs="Arial"/>
          <w:u w:val="single"/>
          <w:shd w:val="clear" w:color="auto" w:fill="FFFFFF"/>
        </w:rPr>
      </w:pPr>
      <w:r>
        <w:rPr>
          <w:rFonts w:hint="eastAsia" w:ascii="仿宋_GB2312" w:hAnsi="宋体" w:cs="仿宋_GB2312"/>
          <w:shd w:val="clear" w:color="auto" w:fill="FFFFFF"/>
          <w:lang w:bidi="ar"/>
        </w:rPr>
        <w:t>经确定免予追责的单位和个人，在绩效考核、评先评优、职务职级晋升、职称评聘和表彰奖励等方面不受影响。</w:t>
      </w:r>
    </w:p>
    <w:p>
      <w:pPr>
        <w:overflowPunct w:val="0"/>
        <w:adjustRightInd w:val="0"/>
        <w:snapToGrid w:val="0"/>
        <w:spacing w:line="510" w:lineRule="exact"/>
        <w:contextualSpacing/>
        <w:rPr>
          <w:rFonts w:ascii="宋体" w:hAnsi="宋体" w:eastAsia="宋体" w:cs="宋体"/>
        </w:rPr>
      </w:pPr>
    </w:p>
    <w:p>
      <w:pPr>
        <w:overflowPunct w:val="0"/>
        <w:adjustRightInd w:val="0"/>
        <w:snapToGrid w:val="0"/>
        <w:spacing w:line="510" w:lineRule="exact"/>
        <w:contextualSpacing/>
        <w:jc w:val="center"/>
        <w:rPr>
          <w:rFonts w:ascii="黑体" w:hAnsi="黑体" w:eastAsia="黑体" w:cs="宋体"/>
        </w:rPr>
      </w:pPr>
      <w:r>
        <w:rPr>
          <w:rFonts w:hint="eastAsia" w:ascii="黑体" w:hAnsi="黑体" w:eastAsia="黑体" w:cs="宋体"/>
          <w:lang w:bidi="ar"/>
        </w:rPr>
        <w:t>第六章  附则</w:t>
      </w:r>
    </w:p>
    <w:p>
      <w:pPr>
        <w:overflowPunct w:val="0"/>
        <w:adjustRightInd w:val="0"/>
        <w:snapToGrid w:val="0"/>
        <w:spacing w:line="510" w:lineRule="exact"/>
        <w:contextualSpacing/>
        <w:jc w:val="left"/>
        <w:rPr>
          <w:rFonts w:ascii="Calibri" w:hAnsi="Calibri"/>
        </w:rPr>
      </w:pPr>
    </w:p>
    <w:p>
      <w:pPr>
        <w:pStyle w:val="8"/>
        <w:overflowPunct w:val="0"/>
        <w:adjustRightInd w:val="0"/>
        <w:snapToGrid w:val="0"/>
        <w:spacing w:after="0" w:line="510" w:lineRule="exact"/>
        <w:ind w:firstLine="640" w:firstLineChars="200"/>
        <w:contextualSpacing/>
        <w:rPr>
          <w:rFonts w:ascii="仿宋_GB2312" w:hAnsi="仿宋" w:cs="Arial"/>
        </w:rPr>
      </w:pPr>
      <w:r>
        <w:rPr>
          <w:rFonts w:ascii="黑体" w:hAnsi="宋体" w:eastAsia="黑体" w:cs="黑体"/>
        </w:rPr>
        <w:t>第四十九条</w:t>
      </w:r>
      <w:r>
        <w:rPr>
          <w:rFonts w:ascii="楷体" w:hAnsi="楷体" w:eastAsia="楷体" w:cs="楷体"/>
        </w:rPr>
        <w:t xml:space="preserve">  </w:t>
      </w:r>
      <w:r>
        <w:rPr>
          <w:rFonts w:ascii="仿宋_GB2312" w:hAnsi="仿宋" w:cs="仿宋_GB2312"/>
        </w:rPr>
        <w:t>本条例自2022年5月1日起施行。</w:t>
      </w:r>
      <w:r>
        <w:rPr>
          <w:rFonts w:ascii="仿宋_GB2312" w:hAnsi="仿宋" w:cs="Arial"/>
        </w:rPr>
        <w:t>2010年5月30日山东省第十一届人民代表大会常务委员会第十七次会议通过的《山东省知识产权促进条例》同时废止。</w:t>
      </w:r>
    </w:p>
    <w:p>
      <w:pPr>
        <w:pStyle w:val="8"/>
        <w:overflowPunct w:val="0"/>
        <w:adjustRightInd w:val="0"/>
        <w:snapToGrid w:val="0"/>
        <w:spacing w:after="0" w:line="510" w:lineRule="exact"/>
        <w:ind w:firstLine="640" w:firstLineChars="200"/>
        <w:contextualSpacing/>
        <w:rPr>
          <w:rFonts w:ascii="仿宋_GB2312" w:hAnsi="仿宋" w:cs="Arial"/>
        </w:rPr>
      </w:pPr>
    </w:p>
    <w:p>
      <w:pPr>
        <w:pStyle w:val="8"/>
        <w:ind w:firstLine="320"/>
      </w:pPr>
    </w:p>
    <w:p>
      <w:pPr>
        <w:pStyle w:val="8"/>
        <w:ind w:firstLine="320"/>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altName w:val="方正楷体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等线">
    <w:altName w:val="汉仪中宋简"/>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DB6346"/>
    <w:rsid w:val="AFDB6346"/>
    <w:rsid w:val="FBFF2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2">
    <w:name w:val="UserStyle_0"/>
    <w:basedOn w:val="1"/>
    <w:qFormat/>
    <w:uiPriority w:val="0"/>
    <w:pPr>
      <w:ind w:left="420" w:leftChars="200"/>
    </w:pPr>
  </w:style>
  <w:style w:type="paragraph" w:styleId="4">
    <w:name w:val="Body Text"/>
    <w:basedOn w:val="1"/>
    <w:unhideWhenUsed/>
    <w:qFormat/>
    <w:uiPriority w:val="99"/>
    <w:pPr>
      <w:spacing w:after="120"/>
    </w:pPr>
  </w:style>
  <w:style w:type="paragraph" w:styleId="5">
    <w:name w:val="Body Text Indent"/>
    <w:basedOn w:val="1"/>
    <w:qFormat/>
    <w:uiPriority w:val="0"/>
    <w:pPr>
      <w:ind w:firstLine="63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First Indent"/>
    <w:basedOn w:val="4"/>
    <w:qFormat/>
    <w:uiPriority w:val="99"/>
    <w:pPr>
      <w:ind w:firstLine="420" w:firstLineChars="100"/>
    </w:pPr>
  </w:style>
  <w:style w:type="paragraph" w:styleId="9">
    <w:name w:val="Body Text First Indent 2"/>
    <w:basedOn w:val="5"/>
    <w:unhideWhenUsed/>
    <w:qFormat/>
    <w:uiPriority w:val="99"/>
    <w:pPr>
      <w:ind w:firstLine="420" w:firstLineChars="200"/>
    </w:pPr>
  </w:style>
  <w:style w:type="paragraph" w:customStyle="1" w:styleId="12">
    <w:name w:val="新增"/>
    <w:basedOn w:val="1"/>
    <w:link w:val="13"/>
    <w:qFormat/>
    <w:uiPriority w:val="0"/>
    <w:pPr>
      <w:shd w:val="clear" w:color="auto" w:fill="FFFFFF"/>
      <w:overflowPunct w:val="0"/>
      <w:adjustRightInd w:val="0"/>
      <w:snapToGrid w:val="0"/>
      <w:spacing w:line="570" w:lineRule="exact"/>
      <w:ind w:firstLine="640" w:firstLineChars="200"/>
      <w:contextualSpacing/>
    </w:pPr>
    <w:rPr>
      <w:rFonts w:ascii="黑体" w:hAnsi="黑体" w:eastAsia="黑体"/>
      <w:shd w:val="clear" w:color="auto" w:fill="FFFFFF"/>
    </w:rPr>
  </w:style>
  <w:style w:type="character" w:customStyle="1" w:styleId="13">
    <w:name w:val="新增 Char"/>
    <w:basedOn w:val="11"/>
    <w:link w:val="12"/>
    <w:qFormat/>
    <w:uiPriority w:val="0"/>
    <w:rPr>
      <w:rFonts w:ascii="黑体" w:hAnsi="黑体" w:eastAsia="黑体"/>
      <w:shd w:val="clear" w:color="auto" w:fill="FFFFFF"/>
    </w:rPr>
  </w:style>
  <w:style w:type="paragraph" w:customStyle="1" w:styleId="14">
    <w:name w:val="删除"/>
    <w:basedOn w:val="1"/>
    <w:qFormat/>
    <w:uiPriority w:val="0"/>
    <w:pPr>
      <w:shd w:val="clear" w:color="auto" w:fill="FFFFFF"/>
      <w:overflowPunct w:val="0"/>
      <w:adjustRightInd w:val="0"/>
      <w:snapToGrid w:val="0"/>
      <w:spacing w:line="570" w:lineRule="exact"/>
      <w:ind w:firstLine="640" w:firstLineChars="200"/>
      <w:contextualSpacing/>
    </w:pPr>
    <w:rPr>
      <w:rFonts w:ascii="仿宋_GB2312" w:hAnsi="宋体"/>
      <w:shd w:val="pct10" w:color="auto" w:fil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2022-05-16T17:55:00Z</dcterms:created>
  <dc:creator>user</dc:creator>
  <cp:lastModifiedBy>user</cp:lastModifiedBy>
  <dcterms:modified xsi:type="dcterms:W3CDTF">2022-05-17T09:15:48Z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