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textAlignment w:val="baseline"/>
        <w:rPr>
          <w:rFonts w:ascii="方正小标宋_GBK" w:hAnsi="方正小标宋简体" w:eastAsia="方正小标宋_GBK" w:cs="方正小标宋简体"/>
          <w:bCs/>
          <w:snapToGrid/>
          <w:kern w:val="2"/>
          <w:sz w:val="44"/>
          <w:szCs w:val="44"/>
        </w:rPr>
      </w:pPr>
      <w:bookmarkStart w:id="127" w:name="_GoBack"/>
      <w:bookmarkEnd w:id="127"/>
    </w:p>
    <w:p>
      <w:pPr>
        <w:spacing w:line="580" w:lineRule="exact"/>
        <w:jc w:val="center"/>
        <w:textAlignment w:val="baseline"/>
        <w:rPr>
          <w:rFonts w:ascii="方正小标宋_GBK" w:hAnsi="方正小标宋简体" w:eastAsia="方正小标宋_GBK" w:cs="方正小标宋简体"/>
          <w:bCs/>
          <w:snapToGrid/>
          <w:kern w:val="2"/>
          <w:sz w:val="44"/>
          <w:szCs w:val="44"/>
        </w:rPr>
      </w:pPr>
    </w:p>
    <w:p>
      <w:pPr>
        <w:spacing w:line="580" w:lineRule="exact"/>
        <w:jc w:val="center"/>
        <w:textAlignment w:val="baseline"/>
        <w:rPr>
          <w:rFonts w:ascii="宋体" w:hAnsi="宋体" w:eastAsia="宋体" w:cs="黑体"/>
          <w:lang w:val="zh-CN"/>
        </w:rPr>
      </w:pPr>
      <w:r>
        <w:rPr>
          <w:rFonts w:hint="eastAsia" w:ascii="宋体" w:hAnsi="宋体" w:eastAsia="宋体" w:cs="方正小标宋简体"/>
          <w:bCs/>
          <w:snapToGrid/>
          <w:kern w:val="2"/>
          <w:sz w:val="44"/>
          <w:szCs w:val="44"/>
        </w:rPr>
        <w:t>山东省节约用水条例</w:t>
      </w:r>
    </w:p>
    <w:p>
      <w:pPr>
        <w:spacing w:line="580" w:lineRule="exact"/>
        <w:jc w:val="center"/>
        <w:rPr>
          <w:rFonts w:ascii="楷体_GB2312" w:eastAsia="楷体_GB2312"/>
          <w:color w:val="000000"/>
        </w:rPr>
      </w:pPr>
    </w:p>
    <w:p>
      <w:pPr>
        <w:spacing w:line="580" w:lineRule="exact"/>
        <w:ind w:left="707" w:leftChars="221" w:right="621" w:rightChars="194"/>
        <w:rPr>
          <w:rFonts w:ascii="楷体_GB2312" w:eastAsia="楷体_GB2312"/>
          <w:color w:val="000000"/>
        </w:rPr>
      </w:pPr>
      <w:r>
        <w:rPr>
          <w:rFonts w:hint="eastAsia" w:ascii="楷体_GB2312" w:eastAsia="楷体_GB2312"/>
          <w:snapToGrid/>
          <w:color w:val="000000"/>
          <w:kern w:val="2"/>
        </w:rPr>
        <w:t>（2021年12月3日山东省第十三届人民代表大会常务委员会第三十二次会议通过）</w:t>
      </w:r>
    </w:p>
    <w:p>
      <w:pPr>
        <w:spacing w:line="580" w:lineRule="exact"/>
        <w:jc w:val="center"/>
        <w:rPr>
          <w:rFonts w:ascii="黑体" w:hAnsi="黑体" w:eastAsia="黑体" w:cs="黑体"/>
          <w:lang w:val="zh-CN"/>
        </w:rPr>
      </w:pPr>
    </w:p>
    <w:p>
      <w:pPr>
        <w:spacing w:line="580" w:lineRule="exact"/>
        <w:jc w:val="center"/>
        <w:textAlignment w:val="baseline"/>
        <w:rPr>
          <w:rFonts w:ascii="楷体" w:hAnsi="楷体" w:eastAsia="楷体" w:cs="楷体_GB2312"/>
        </w:rPr>
      </w:pPr>
      <w:r>
        <w:rPr>
          <w:rFonts w:hint="eastAsia" w:ascii="楷体" w:hAnsi="楷体" w:eastAsia="楷体" w:cs="楷体_GB2312"/>
          <w:snapToGrid/>
          <w:kern w:val="2"/>
          <w:lang w:val="zh-CN"/>
        </w:rPr>
        <w:t>目  录</w:t>
      </w:r>
    </w:p>
    <w:p>
      <w:pPr>
        <w:spacing w:line="580" w:lineRule="exact"/>
        <w:ind w:firstLine="640" w:firstLineChars="200"/>
        <w:textAlignment w:val="baseline"/>
        <w:rPr>
          <w:rFonts w:ascii="楷体" w:hAnsi="楷体" w:eastAsia="楷体" w:cs="楷体_GB2312"/>
        </w:rPr>
      </w:pPr>
      <w:bookmarkStart w:id="0" w:name="_Toc60819271"/>
      <w:r>
        <w:rPr>
          <w:rFonts w:hint="eastAsia" w:ascii="楷体" w:hAnsi="楷体" w:eastAsia="楷体" w:cs="楷体_GB2312"/>
          <w:snapToGrid/>
          <w:kern w:val="2"/>
        </w:rPr>
        <w:t>第一章  总则</w:t>
      </w:r>
      <w:bookmarkEnd w:id="0"/>
    </w:p>
    <w:p>
      <w:pPr>
        <w:spacing w:line="580" w:lineRule="exact"/>
        <w:ind w:firstLine="640" w:firstLineChars="200"/>
        <w:textAlignment w:val="baseline"/>
        <w:rPr>
          <w:rFonts w:ascii="楷体" w:hAnsi="楷体" w:eastAsia="楷体" w:cs="楷体_GB2312"/>
        </w:rPr>
      </w:pPr>
      <w:bookmarkStart w:id="1" w:name="_Toc60819279"/>
      <w:r>
        <w:rPr>
          <w:rFonts w:hint="eastAsia" w:ascii="楷体" w:hAnsi="楷体" w:eastAsia="楷体" w:cs="楷体_GB2312"/>
          <w:snapToGrid/>
          <w:kern w:val="2"/>
        </w:rPr>
        <w:t>第二章  规划与计划</w:t>
      </w:r>
      <w:bookmarkEnd w:id="1"/>
    </w:p>
    <w:p>
      <w:pPr>
        <w:spacing w:line="580" w:lineRule="exact"/>
        <w:ind w:firstLine="640" w:firstLineChars="200"/>
        <w:textAlignment w:val="baseline"/>
        <w:rPr>
          <w:rFonts w:ascii="楷体" w:hAnsi="楷体" w:eastAsia="楷体" w:cs="楷体_GB2312"/>
        </w:rPr>
      </w:pPr>
      <w:bookmarkStart w:id="2" w:name="_Toc60819288"/>
      <w:r>
        <w:rPr>
          <w:rFonts w:hint="eastAsia" w:ascii="楷体" w:hAnsi="楷体" w:eastAsia="楷体" w:cs="楷体_GB2312"/>
          <w:snapToGrid/>
          <w:kern w:val="2"/>
        </w:rPr>
        <w:t>第三章  节水管理</w:t>
      </w:r>
      <w:bookmarkEnd w:id="2"/>
    </w:p>
    <w:p>
      <w:pPr>
        <w:spacing w:line="580" w:lineRule="exact"/>
        <w:ind w:firstLine="640" w:firstLineChars="200"/>
        <w:textAlignment w:val="baseline"/>
        <w:rPr>
          <w:rFonts w:ascii="楷体" w:hAnsi="楷体" w:eastAsia="楷体" w:cs="楷体_GB2312"/>
        </w:rPr>
      </w:pPr>
      <w:bookmarkStart w:id="3" w:name="_Toc60819307"/>
      <w:r>
        <w:rPr>
          <w:rFonts w:hint="eastAsia" w:ascii="楷体" w:hAnsi="楷体" w:eastAsia="楷体" w:cs="楷体_GB2312"/>
          <w:snapToGrid/>
          <w:kern w:val="2"/>
        </w:rPr>
        <w:t xml:space="preserve">第四章  </w:t>
      </w:r>
      <w:bookmarkEnd w:id="3"/>
      <w:r>
        <w:rPr>
          <w:rFonts w:hint="eastAsia" w:ascii="楷体" w:hAnsi="楷体" w:eastAsia="楷体" w:cs="楷体_GB2312"/>
          <w:snapToGrid/>
          <w:kern w:val="2"/>
        </w:rPr>
        <w:t>节水措施</w:t>
      </w:r>
    </w:p>
    <w:p>
      <w:pPr>
        <w:spacing w:line="580" w:lineRule="exact"/>
        <w:ind w:firstLine="640" w:firstLineChars="200"/>
        <w:textAlignment w:val="baseline"/>
        <w:rPr>
          <w:rFonts w:ascii="楷体" w:hAnsi="楷体" w:eastAsia="楷体" w:cs="楷体_GB2312"/>
        </w:rPr>
      </w:pPr>
      <w:bookmarkStart w:id="4" w:name="_Toc60819324"/>
      <w:r>
        <w:rPr>
          <w:rFonts w:hint="eastAsia" w:ascii="楷体" w:hAnsi="楷体" w:eastAsia="楷体" w:cs="楷体_GB2312"/>
          <w:snapToGrid/>
          <w:kern w:val="2"/>
        </w:rPr>
        <w:t xml:space="preserve">第五章  </w:t>
      </w:r>
      <w:bookmarkEnd w:id="4"/>
      <w:r>
        <w:rPr>
          <w:rFonts w:hint="eastAsia" w:ascii="楷体" w:hAnsi="楷体" w:eastAsia="楷体" w:cs="楷体_GB2312"/>
          <w:snapToGrid/>
          <w:kern w:val="2"/>
        </w:rPr>
        <w:t>保障措施</w:t>
      </w:r>
    </w:p>
    <w:p>
      <w:pPr>
        <w:spacing w:line="580" w:lineRule="exact"/>
        <w:ind w:firstLine="640" w:firstLineChars="200"/>
        <w:textAlignment w:val="baseline"/>
        <w:rPr>
          <w:rFonts w:ascii="楷体" w:hAnsi="楷体" w:eastAsia="楷体" w:cs="楷体_GB2312"/>
        </w:rPr>
      </w:pPr>
      <w:bookmarkStart w:id="5" w:name="_Toc60819334"/>
      <w:r>
        <w:rPr>
          <w:rFonts w:hint="eastAsia" w:ascii="楷体" w:hAnsi="楷体" w:eastAsia="楷体" w:cs="楷体_GB2312"/>
          <w:snapToGrid/>
          <w:kern w:val="2"/>
        </w:rPr>
        <w:t>第六章  法律责任</w:t>
      </w:r>
      <w:bookmarkEnd w:id="5"/>
    </w:p>
    <w:p>
      <w:pPr>
        <w:spacing w:line="580" w:lineRule="exact"/>
        <w:ind w:firstLine="640" w:firstLineChars="200"/>
        <w:textAlignment w:val="baseline"/>
        <w:rPr>
          <w:rFonts w:ascii="楷体" w:hAnsi="楷体" w:eastAsia="楷体" w:cs="楷体_GB2312"/>
        </w:rPr>
      </w:pPr>
      <w:bookmarkStart w:id="6" w:name="_Toc60819343"/>
      <w:r>
        <w:rPr>
          <w:rFonts w:hint="eastAsia" w:ascii="楷体" w:hAnsi="楷体" w:eastAsia="楷体" w:cs="楷体_GB2312"/>
          <w:snapToGrid/>
          <w:kern w:val="2"/>
        </w:rPr>
        <w:t>第七章  附则</w:t>
      </w:r>
      <w:bookmarkEnd w:id="6"/>
    </w:p>
    <w:p>
      <w:pPr>
        <w:spacing w:line="580" w:lineRule="exact"/>
        <w:jc w:val="center"/>
      </w:pPr>
      <w:bookmarkStart w:id="7" w:name="_Toc70109431"/>
    </w:p>
    <w:p>
      <w:pPr>
        <w:spacing w:line="580" w:lineRule="exact"/>
        <w:jc w:val="center"/>
        <w:textAlignment w:val="baseline"/>
        <w:rPr>
          <w:rFonts w:ascii="黑体" w:hAnsi="黑体" w:eastAsia="黑体"/>
        </w:rPr>
      </w:pPr>
      <w:r>
        <w:rPr>
          <w:rFonts w:hint="eastAsia" w:ascii="黑体" w:hAnsi="黑体" w:eastAsia="黑体"/>
          <w:snapToGrid/>
          <w:kern w:val="2"/>
        </w:rPr>
        <w:t>第一章  总则</w:t>
      </w:r>
      <w:bookmarkEnd w:id="7"/>
    </w:p>
    <w:p>
      <w:pPr>
        <w:adjustRightInd w:val="0"/>
        <w:spacing w:line="580" w:lineRule="exact"/>
        <w:ind w:firstLine="640" w:firstLineChars="200"/>
        <w:contextualSpacing/>
        <w:rPr>
          <w:rFonts w:ascii="黑体" w:hAnsi="黑体" w:eastAsia="黑体"/>
        </w:rPr>
      </w:pPr>
      <w:bookmarkStart w:id="8" w:name="_Toc66175212"/>
      <w:bookmarkStart w:id="9" w:name="_Toc60819272"/>
    </w:p>
    <w:p>
      <w:pPr>
        <w:adjustRightInd w:val="0"/>
        <w:spacing w:line="580" w:lineRule="exact"/>
        <w:ind w:firstLine="640" w:firstLineChars="200"/>
        <w:contextualSpacing/>
        <w:textAlignment w:val="baseline"/>
        <w:rPr>
          <w:rFonts w:ascii="仿宋_GB2312" w:hAnsi="仿宋"/>
        </w:rPr>
      </w:pPr>
      <w:r>
        <w:rPr>
          <w:rFonts w:hint="eastAsia" w:ascii="黑体" w:hAnsi="黑体" w:eastAsia="黑体"/>
          <w:snapToGrid/>
          <w:kern w:val="2"/>
        </w:rPr>
        <w:t xml:space="preserve">第一条  </w:t>
      </w:r>
      <w:r>
        <w:rPr>
          <w:rFonts w:hint="eastAsia" w:ascii="仿宋_GB2312" w:hAnsi="仿宋"/>
          <w:snapToGrid/>
          <w:kern w:val="2"/>
        </w:rPr>
        <w:t>为了加强水资源节约集约利用，促进生态文明建设和经济社会高质量发展，根据《中华人民共和国水法》等法律、行政法规，结合本省实际，制定本条例。</w:t>
      </w:r>
      <w:bookmarkEnd w:id="8"/>
    </w:p>
    <w:bookmarkEnd w:id="9"/>
    <w:p>
      <w:pPr>
        <w:adjustRightInd w:val="0"/>
        <w:spacing w:line="580" w:lineRule="exact"/>
        <w:ind w:firstLine="640" w:firstLineChars="200"/>
        <w:contextualSpacing/>
        <w:textAlignment w:val="baseline"/>
        <w:rPr>
          <w:rFonts w:ascii="仿宋_GB2312" w:hAnsi="仿宋"/>
        </w:rPr>
      </w:pPr>
      <w:bookmarkStart w:id="10" w:name="_Toc66175213"/>
      <w:bookmarkStart w:id="11" w:name="_Toc60819273"/>
      <w:r>
        <w:rPr>
          <w:rFonts w:hint="eastAsia" w:ascii="黑体" w:hAnsi="黑体" w:eastAsia="黑体"/>
          <w:snapToGrid/>
          <w:kern w:val="2"/>
        </w:rPr>
        <w:t xml:space="preserve">第二条  </w:t>
      </w:r>
      <w:r>
        <w:rPr>
          <w:rFonts w:hint="eastAsia" w:ascii="仿宋_GB2312" w:hAnsi="仿宋"/>
          <w:snapToGrid/>
          <w:kern w:val="2"/>
        </w:rPr>
        <w:t>本省行政区域内节约用水及其监督管理活动，适用本条例。</w:t>
      </w:r>
      <w:bookmarkEnd w:id="10"/>
    </w:p>
    <w:p>
      <w:pPr>
        <w:adjustRightInd w:val="0"/>
        <w:spacing w:line="580" w:lineRule="exact"/>
        <w:ind w:firstLine="640" w:firstLineChars="200"/>
        <w:contextualSpacing/>
        <w:textAlignment w:val="baseline"/>
        <w:rPr>
          <w:rFonts w:ascii="仿宋_GB2312" w:hAnsi="仿宋"/>
        </w:rPr>
      </w:pPr>
      <w:r>
        <w:rPr>
          <w:rFonts w:ascii="仿宋_GB2312" w:hAnsi="仿宋"/>
          <w:snapToGrid/>
          <w:kern w:val="2"/>
        </w:rPr>
        <w:t>法律</w:t>
      </w:r>
      <w:r>
        <w:rPr>
          <w:rFonts w:hint="eastAsia" w:ascii="仿宋_GB2312" w:hAnsi="仿宋"/>
          <w:snapToGrid/>
          <w:kern w:val="2"/>
        </w:rPr>
        <w:t>、</w:t>
      </w:r>
      <w:r>
        <w:rPr>
          <w:rFonts w:ascii="仿宋_GB2312" w:hAnsi="仿宋"/>
          <w:snapToGrid/>
          <w:kern w:val="2"/>
        </w:rPr>
        <w:t>行政法规对流域水资源节约利用和管理另有规定的</w:t>
      </w:r>
      <w:r>
        <w:rPr>
          <w:rFonts w:hint="eastAsia" w:ascii="仿宋_GB2312" w:hAnsi="仿宋"/>
          <w:snapToGrid/>
          <w:kern w:val="2"/>
        </w:rPr>
        <w:t>，依照</w:t>
      </w:r>
      <w:r>
        <w:rPr>
          <w:rFonts w:ascii="仿宋_GB2312" w:hAnsi="仿宋"/>
          <w:snapToGrid/>
          <w:kern w:val="2"/>
        </w:rPr>
        <w:t>其规定执行</w:t>
      </w:r>
      <w:r>
        <w:rPr>
          <w:rFonts w:hint="eastAsia" w:ascii="仿宋_GB2312" w:hAnsi="仿宋"/>
          <w:snapToGrid/>
          <w:kern w:val="2"/>
        </w:rPr>
        <w:t>。</w:t>
      </w:r>
    </w:p>
    <w:bookmarkEnd w:id="11"/>
    <w:p>
      <w:pPr>
        <w:adjustRightInd w:val="0"/>
        <w:spacing w:line="580" w:lineRule="exact"/>
        <w:ind w:firstLine="640" w:firstLineChars="200"/>
        <w:contextualSpacing/>
        <w:textAlignment w:val="baseline"/>
        <w:rPr>
          <w:rFonts w:ascii="仿宋_GB2312" w:hAnsi="仿宋"/>
        </w:rPr>
      </w:pPr>
      <w:bookmarkStart w:id="12" w:name="_Toc66175214"/>
      <w:bookmarkStart w:id="13" w:name="_Toc60819274"/>
      <w:r>
        <w:rPr>
          <w:rFonts w:hint="eastAsia" w:ascii="黑体" w:hAnsi="黑体" w:eastAsia="黑体"/>
          <w:snapToGrid/>
          <w:kern w:val="2"/>
        </w:rPr>
        <w:t xml:space="preserve">第三条  </w:t>
      </w:r>
      <w:r>
        <w:rPr>
          <w:rFonts w:hint="eastAsia" w:ascii="仿宋_GB2312" w:hAnsi="仿宋"/>
          <w:snapToGrid/>
          <w:kern w:val="2"/>
        </w:rPr>
        <w:t>节约用水工作应当遵循科学规划、统筹兼顾、总量控制、高效利用、因地制宜、分类指导的原则，建立健全政府主导、部门协同、市场调节、公众参与的节约用水机制。</w:t>
      </w:r>
      <w:bookmarkEnd w:id="12"/>
    </w:p>
    <w:bookmarkEnd w:id="13"/>
    <w:p>
      <w:pPr>
        <w:adjustRightInd w:val="0"/>
        <w:spacing w:line="580" w:lineRule="exact"/>
        <w:ind w:firstLine="640" w:firstLineChars="200"/>
        <w:contextualSpacing/>
        <w:textAlignment w:val="baseline"/>
        <w:rPr>
          <w:rFonts w:ascii="仿宋_GB2312" w:hAnsi="仿宋"/>
        </w:rPr>
      </w:pPr>
      <w:bookmarkStart w:id="14" w:name="_Toc66175215"/>
      <w:bookmarkStart w:id="15" w:name="_Toc60819275"/>
      <w:r>
        <w:rPr>
          <w:rFonts w:hint="eastAsia" w:ascii="黑体" w:hAnsi="黑体" w:eastAsia="黑体"/>
          <w:snapToGrid/>
          <w:kern w:val="2"/>
        </w:rPr>
        <w:t xml:space="preserve">第四条  </w:t>
      </w:r>
      <w:r>
        <w:rPr>
          <w:rFonts w:hint="eastAsia" w:ascii="仿宋_GB2312" w:hAnsi="仿宋"/>
          <w:snapToGrid/>
          <w:kern w:val="2"/>
        </w:rPr>
        <w:t>县级以上人民政府应当加强对节约用水工作的领导，将节约用水工作纳入国民经济和社会发展规划，建立节约用水目标责任制度和绩效评价机制，完善资金投入和激励奖励机制，健全节约用水工作协调机制，协调解决节约用水工作中的重大问题。</w:t>
      </w:r>
      <w:bookmarkEnd w:id="14"/>
    </w:p>
    <w:bookmarkEnd w:id="15"/>
    <w:p>
      <w:pPr>
        <w:spacing w:line="580" w:lineRule="exact"/>
        <w:ind w:firstLine="640" w:firstLineChars="200"/>
        <w:contextualSpacing/>
        <w:textAlignment w:val="baseline"/>
        <w:rPr>
          <w:rFonts w:ascii="仿宋_GB2312" w:hAnsi="仿宋"/>
        </w:rPr>
      </w:pPr>
      <w:bookmarkStart w:id="16" w:name="_Toc66175216"/>
      <w:bookmarkStart w:id="17" w:name="_Toc60819276"/>
      <w:r>
        <w:rPr>
          <w:rFonts w:hint="eastAsia" w:ascii="黑体" w:hAnsi="黑体" w:eastAsia="黑体"/>
          <w:snapToGrid/>
          <w:kern w:val="2"/>
        </w:rPr>
        <w:t>第五条</w:t>
      </w:r>
      <w:bookmarkEnd w:id="16"/>
      <w:bookmarkEnd w:id="17"/>
      <w:r>
        <w:rPr>
          <w:rFonts w:hint="eastAsia" w:ascii="黑体" w:hAnsi="黑体" w:eastAsia="黑体"/>
          <w:snapToGrid/>
          <w:kern w:val="2"/>
        </w:rPr>
        <w:t xml:space="preserve">  </w:t>
      </w:r>
      <w:r>
        <w:rPr>
          <w:rFonts w:hint="eastAsia" w:ascii="仿宋_GB2312" w:hAnsi="仿宋"/>
          <w:snapToGrid/>
          <w:kern w:val="2"/>
        </w:rPr>
        <w:t>县级以上人民政府水行政主管部门负责本行政区域内节约用水工作的组织、协调和监督管理。</w:t>
      </w:r>
    </w:p>
    <w:p>
      <w:pPr>
        <w:spacing w:line="580" w:lineRule="exact"/>
        <w:ind w:firstLine="640" w:firstLineChars="200"/>
        <w:contextualSpacing/>
        <w:textAlignment w:val="baseline"/>
        <w:rPr>
          <w:rFonts w:ascii="仿宋_GB2312" w:hAnsi="仿宋"/>
        </w:rPr>
      </w:pPr>
      <w:r>
        <w:rPr>
          <w:rFonts w:hint="eastAsia" w:ascii="仿宋_GB2312" w:hAnsi="仿宋"/>
          <w:snapToGrid/>
          <w:kern w:val="2"/>
        </w:rPr>
        <w:t>发展改革、教育、科学技术、工业和信息化、自然资源、生态环境、住房城乡建设、农业农村、市场监督管理、机关事务、海洋、城市管理等部门，按照各自职责做好节约用水的相关工作。</w:t>
      </w:r>
    </w:p>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乡镇人民政府、街道办事处应当</w:t>
      </w:r>
      <w:r>
        <w:rPr>
          <w:rFonts w:ascii="仿宋_GB2312" w:hAnsi="仿宋"/>
          <w:snapToGrid/>
          <w:kern w:val="2"/>
        </w:rPr>
        <w:t>配合</w:t>
      </w:r>
      <w:r>
        <w:rPr>
          <w:rFonts w:hint="eastAsia" w:ascii="仿宋_GB2312" w:hAnsi="仿宋"/>
          <w:snapToGrid/>
          <w:kern w:val="2"/>
        </w:rPr>
        <w:t>做好本行政区域内节约用水的相关工作。</w:t>
      </w:r>
    </w:p>
    <w:p>
      <w:pPr>
        <w:adjustRightInd w:val="0"/>
        <w:spacing w:line="580" w:lineRule="exact"/>
        <w:ind w:firstLine="640" w:firstLineChars="200"/>
        <w:contextualSpacing/>
        <w:textAlignment w:val="baseline"/>
        <w:rPr>
          <w:rFonts w:ascii="仿宋_GB2312" w:hAnsi="仿宋"/>
        </w:rPr>
      </w:pPr>
      <w:bookmarkStart w:id="18" w:name="_Toc66175217"/>
      <w:bookmarkStart w:id="19" w:name="_Toc60819277"/>
      <w:r>
        <w:rPr>
          <w:rFonts w:hint="eastAsia" w:ascii="黑体" w:hAnsi="黑体" w:eastAsia="黑体"/>
          <w:snapToGrid/>
          <w:kern w:val="2"/>
        </w:rPr>
        <w:t xml:space="preserve">第六条  </w:t>
      </w:r>
      <w:r>
        <w:rPr>
          <w:rFonts w:hint="eastAsia" w:ascii="仿宋_GB2312" w:hAnsi="仿宋"/>
          <w:snapToGrid/>
          <w:kern w:val="2"/>
        </w:rPr>
        <w:t>县级以上人民政府应当采取措施，扶持节水技术、设备和产品的研究开发、推广和应用，推动技术创新和成果转化，培育和发展节水产业。</w:t>
      </w:r>
      <w:bookmarkEnd w:id="18"/>
    </w:p>
    <w:bookmarkEnd w:id="19"/>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鼓励和支持高等学校、科研机构、企业加强节水技术研究，开展产学研用合作，研制和开发节水技术产品并推广应用。</w:t>
      </w:r>
    </w:p>
    <w:p>
      <w:pPr>
        <w:adjustRightInd w:val="0"/>
        <w:spacing w:line="580" w:lineRule="exact"/>
        <w:ind w:firstLine="640" w:firstLineChars="200"/>
        <w:contextualSpacing/>
        <w:textAlignment w:val="baseline"/>
        <w:rPr>
          <w:rFonts w:ascii="仿宋_GB2312" w:hAnsi="仿宋"/>
        </w:rPr>
      </w:pPr>
      <w:bookmarkStart w:id="20" w:name="_Toc48031008"/>
      <w:bookmarkStart w:id="21" w:name="_Toc66175218"/>
      <w:r>
        <w:rPr>
          <w:rFonts w:hint="eastAsia" w:ascii="黑体" w:hAnsi="黑体" w:eastAsia="黑体"/>
          <w:snapToGrid/>
          <w:kern w:val="2"/>
        </w:rPr>
        <w:t>第七条</w:t>
      </w:r>
      <w:bookmarkEnd w:id="20"/>
      <w:r>
        <w:rPr>
          <w:rFonts w:hint="eastAsia" w:ascii="黑体" w:hAnsi="黑体" w:eastAsia="黑体"/>
          <w:snapToGrid/>
          <w:kern w:val="2"/>
        </w:rPr>
        <w:t xml:space="preserve">  </w:t>
      </w:r>
      <w:r>
        <w:rPr>
          <w:rFonts w:hint="eastAsia" w:ascii="仿宋_GB2312" w:hAnsi="仿宋"/>
          <w:snapToGrid/>
          <w:kern w:val="2"/>
        </w:rPr>
        <w:t>县级以上人民政府应当组织有关部门加强节约用水的宣传教育，将节水知识纳入国民素质教育和中小学教育内容，增强全民节水意识。</w:t>
      </w:r>
      <w:bookmarkEnd w:id="21"/>
    </w:p>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新闻媒体应当开展节约用水的公益宣传，对浪费水资源的行为进行舆论监督。</w:t>
      </w:r>
    </w:p>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对在节约用水工作中做出突出贡献的单位和个人，由县级以上人民政府按照有关规定给予表彰和奖励。</w:t>
      </w:r>
    </w:p>
    <w:p>
      <w:pPr>
        <w:adjustRightInd w:val="0"/>
        <w:spacing w:line="580" w:lineRule="exact"/>
        <w:ind w:firstLine="640" w:firstLineChars="200"/>
        <w:contextualSpacing/>
        <w:rPr>
          <w:rFonts w:ascii="仿宋_GB2312" w:hAnsi="仿宋"/>
        </w:rPr>
      </w:pPr>
    </w:p>
    <w:p>
      <w:pPr>
        <w:spacing w:line="580" w:lineRule="exact"/>
        <w:jc w:val="center"/>
        <w:textAlignment w:val="baseline"/>
        <w:rPr>
          <w:rFonts w:ascii="黑体" w:hAnsi="黑体" w:eastAsia="黑体"/>
        </w:rPr>
      </w:pPr>
      <w:bookmarkStart w:id="22" w:name="_Toc65677304"/>
      <w:bookmarkStart w:id="23" w:name="_Toc70109432"/>
      <w:bookmarkStart w:id="24" w:name="_Toc66175219"/>
      <w:r>
        <w:rPr>
          <w:rFonts w:hint="eastAsia" w:ascii="黑体" w:hAnsi="黑体" w:eastAsia="黑体"/>
          <w:snapToGrid/>
          <w:kern w:val="2"/>
        </w:rPr>
        <w:t>第二章  规划与计划</w:t>
      </w:r>
      <w:bookmarkEnd w:id="22"/>
      <w:bookmarkEnd w:id="23"/>
      <w:bookmarkEnd w:id="24"/>
    </w:p>
    <w:p>
      <w:pPr>
        <w:adjustRightInd w:val="0"/>
        <w:spacing w:line="580" w:lineRule="exact"/>
        <w:ind w:firstLine="640" w:firstLineChars="200"/>
        <w:contextualSpacing/>
        <w:rPr>
          <w:rFonts w:ascii="黑体" w:hAnsi="黑体" w:eastAsia="黑体"/>
        </w:rPr>
      </w:pPr>
      <w:bookmarkStart w:id="25" w:name="_Toc66175220"/>
      <w:bookmarkStart w:id="26" w:name="_Toc60819280"/>
    </w:p>
    <w:p>
      <w:pPr>
        <w:adjustRightInd w:val="0"/>
        <w:spacing w:line="580" w:lineRule="exact"/>
        <w:ind w:firstLine="640" w:firstLineChars="200"/>
        <w:contextualSpacing/>
        <w:textAlignment w:val="baseline"/>
        <w:rPr>
          <w:rFonts w:ascii="仿宋_GB2312" w:hAnsi="仿宋"/>
        </w:rPr>
      </w:pPr>
      <w:r>
        <w:rPr>
          <w:rFonts w:hint="eastAsia" w:ascii="黑体" w:hAnsi="黑体" w:eastAsia="黑体"/>
          <w:snapToGrid/>
          <w:kern w:val="2"/>
        </w:rPr>
        <w:t xml:space="preserve">第八条  </w:t>
      </w:r>
      <w:r>
        <w:rPr>
          <w:rFonts w:hint="eastAsia" w:ascii="仿宋_GB2312" w:hAnsi="仿宋"/>
          <w:snapToGrid/>
          <w:kern w:val="2"/>
        </w:rPr>
        <w:t>县级以上人民政府应当根据当地水资源条件，坚持以水定城、以水定地、以水定人、以水定产，科学配置地表水，积极利用外调水，控制开采地下水，合理使用非常规水，科学安排经济社会发展布局，优化产业结构。</w:t>
      </w:r>
      <w:bookmarkEnd w:id="25"/>
    </w:p>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县级以上人民政府应当建立用水总量和强度控制目标体系，根据上级确定的控制目标、本行政区域水资源可利用量和水资源开发利用状况，进行用水总量和强度控制。</w:t>
      </w:r>
    </w:p>
    <w:p>
      <w:pPr>
        <w:adjustRightInd w:val="0"/>
        <w:spacing w:line="600" w:lineRule="exact"/>
        <w:ind w:firstLine="640" w:firstLineChars="200"/>
        <w:contextualSpacing/>
        <w:textAlignment w:val="baseline"/>
        <w:rPr>
          <w:rFonts w:ascii="仿宋_GB2312" w:hAnsi="仿宋"/>
        </w:rPr>
      </w:pPr>
      <w:bookmarkStart w:id="27" w:name="_Toc66175221"/>
      <w:r>
        <w:rPr>
          <w:rFonts w:hint="eastAsia" w:ascii="黑体" w:hAnsi="黑体" w:eastAsia="黑体"/>
          <w:snapToGrid/>
          <w:kern w:val="2"/>
        </w:rPr>
        <w:t xml:space="preserve">第九条  </w:t>
      </w:r>
      <w:r>
        <w:rPr>
          <w:rFonts w:hint="eastAsia" w:ascii="仿宋_GB2312" w:hAnsi="仿宋"/>
          <w:snapToGrid/>
          <w:kern w:val="2"/>
        </w:rPr>
        <w:t>县级以上人民政府水行政主管部门应当会同发展改革、工业和信息化、住房城乡建设、农业农村、城市管理等部门，根据上级节约用水规划，结合当地经济社会发展需要和水资源状况，编制本行政区域节约用水规划，报本级人民政府批准后实施。</w:t>
      </w:r>
      <w:bookmarkEnd w:id="27"/>
    </w:p>
    <w:bookmarkEnd w:id="26"/>
    <w:p>
      <w:pPr>
        <w:adjustRightInd w:val="0"/>
        <w:spacing w:line="600" w:lineRule="exact"/>
        <w:ind w:firstLine="640" w:firstLineChars="200"/>
        <w:contextualSpacing/>
        <w:textAlignment w:val="baseline"/>
        <w:rPr>
          <w:rFonts w:ascii="仿宋_GB2312" w:hAnsi="仿宋"/>
        </w:rPr>
      </w:pPr>
      <w:bookmarkStart w:id="28" w:name="_Toc60819281"/>
      <w:r>
        <w:rPr>
          <w:rFonts w:hint="eastAsia" w:ascii="仿宋_GB2312" w:hAnsi="仿宋"/>
          <w:snapToGrid/>
          <w:kern w:val="2"/>
        </w:rPr>
        <w:t>节约用水规划应当包括水资源状况评价、节约用水潜力分析以及节约用水目标、任务和措施等内容。</w:t>
      </w:r>
    </w:p>
    <w:bookmarkEnd w:id="28"/>
    <w:p>
      <w:pPr>
        <w:adjustRightInd w:val="0"/>
        <w:spacing w:line="600" w:lineRule="exact"/>
        <w:ind w:firstLine="640" w:firstLineChars="200"/>
        <w:contextualSpacing/>
        <w:textAlignment w:val="baseline"/>
        <w:rPr>
          <w:rFonts w:ascii="仿宋_GB2312" w:hAnsi="仿宋"/>
        </w:rPr>
      </w:pPr>
      <w:bookmarkStart w:id="29" w:name="_Toc66175222"/>
      <w:bookmarkStart w:id="30" w:name="_Toc60819284"/>
      <w:r>
        <w:rPr>
          <w:rFonts w:hint="eastAsia" w:ascii="黑体" w:hAnsi="黑体" w:eastAsia="黑体"/>
          <w:snapToGrid/>
          <w:kern w:val="2"/>
        </w:rPr>
        <w:t xml:space="preserve">第十条  </w:t>
      </w:r>
      <w:r>
        <w:rPr>
          <w:rFonts w:hint="eastAsia" w:ascii="仿宋_GB2312" w:hAnsi="仿宋"/>
          <w:snapToGrid/>
          <w:kern w:val="2"/>
        </w:rPr>
        <w:t>对纳入取水许可管理的用水单位，以及由供水单位供水并且年用水量达到一定规模的非居民用水单位，实行计划用水管理。</w:t>
      </w:r>
      <w:bookmarkEnd w:id="29"/>
    </w:p>
    <w:bookmarkEnd w:id="30"/>
    <w:p>
      <w:pPr>
        <w:adjustRightInd w:val="0"/>
        <w:spacing w:line="600" w:lineRule="exact"/>
        <w:ind w:firstLine="640" w:firstLineChars="200"/>
        <w:contextualSpacing/>
        <w:textAlignment w:val="baseline"/>
        <w:rPr>
          <w:rFonts w:ascii="仿宋_GB2312" w:hAnsi="仿宋"/>
        </w:rPr>
      </w:pPr>
      <w:r>
        <w:rPr>
          <w:rFonts w:hint="eastAsia" w:ascii="仿宋_GB2312" w:hAnsi="仿宋"/>
          <w:snapToGrid/>
          <w:kern w:val="2"/>
        </w:rPr>
        <w:t>前款规定的一定规模，由设区的市人民政府根据国家和省有关规定，结合当地节约用水工作需要合理确定。</w:t>
      </w:r>
    </w:p>
    <w:p>
      <w:pPr>
        <w:adjustRightInd w:val="0"/>
        <w:spacing w:line="600" w:lineRule="exact"/>
        <w:ind w:firstLine="640" w:firstLineChars="200"/>
        <w:contextualSpacing/>
        <w:textAlignment w:val="baseline"/>
        <w:rPr>
          <w:rFonts w:ascii="仿宋_GB2312" w:hAnsi="仿宋"/>
        </w:rPr>
      </w:pPr>
      <w:bookmarkStart w:id="31" w:name="_Toc66175223"/>
      <w:r>
        <w:rPr>
          <w:rFonts w:hint="eastAsia" w:ascii="黑体" w:hAnsi="黑体" w:eastAsia="黑体"/>
          <w:snapToGrid/>
          <w:kern w:val="2"/>
        </w:rPr>
        <w:t>第十一条</w:t>
      </w:r>
      <w:bookmarkEnd w:id="31"/>
      <w:bookmarkStart w:id="32" w:name="_Toc66175224"/>
      <w:bookmarkStart w:id="33" w:name="_Toc60819286"/>
      <w:r>
        <w:rPr>
          <w:rFonts w:hint="eastAsia" w:ascii="黑体" w:hAnsi="黑体" w:eastAsia="黑体"/>
          <w:snapToGrid/>
          <w:kern w:val="2"/>
        </w:rPr>
        <w:t xml:space="preserve">  </w:t>
      </w:r>
      <w:r>
        <w:rPr>
          <w:rFonts w:hint="eastAsia" w:ascii="仿宋_GB2312" w:hAnsi="仿宋"/>
          <w:snapToGrid/>
          <w:kern w:val="2"/>
        </w:rPr>
        <w:t>用水计划应当根据行业用水定额、用水需求、近三年实际用水情况以及取水许可水量或者供水单位供水能力等进行核定。</w:t>
      </w:r>
    </w:p>
    <w:bookmarkEnd w:id="32"/>
    <w:p>
      <w:pPr>
        <w:adjustRightInd w:val="0"/>
        <w:spacing w:line="600" w:lineRule="exact"/>
        <w:ind w:firstLine="640" w:firstLineChars="200"/>
        <w:contextualSpacing/>
        <w:textAlignment w:val="baseline"/>
        <w:rPr>
          <w:rFonts w:ascii="仿宋_GB2312" w:hAnsi="仿宋"/>
        </w:rPr>
      </w:pPr>
      <w:r>
        <w:rPr>
          <w:rFonts w:hint="eastAsia" w:ascii="仿宋_GB2312" w:hAnsi="仿宋"/>
          <w:snapToGrid/>
          <w:kern w:val="2"/>
        </w:rPr>
        <w:t>纳入取水许可管理的用水单位的用水计划，由取水口所在地设区的市或者县（市、区）人民政府水行政主管部门下达；其他用水单位的用水计划由供水主管部门下达，并抄送同级水行政主管部门。对取用多种水源的用水单位，应当分别核定并下达用水计划。</w:t>
      </w:r>
    </w:p>
    <w:p>
      <w:pPr>
        <w:adjustRightInd w:val="0"/>
        <w:spacing w:line="600" w:lineRule="exact"/>
        <w:ind w:firstLine="640" w:firstLineChars="200"/>
        <w:contextualSpacing/>
        <w:textAlignment w:val="baseline"/>
        <w:rPr>
          <w:rFonts w:ascii="仿宋_GB2312" w:hAnsi="仿宋"/>
        </w:rPr>
      </w:pPr>
      <w:r>
        <w:rPr>
          <w:rFonts w:hint="eastAsia" w:ascii="仿宋_GB2312" w:hAnsi="仿宋"/>
          <w:snapToGrid/>
          <w:kern w:val="2"/>
        </w:rPr>
        <w:t>因建设、生产、经营等需要调整用水计划的，应当重新核定。</w:t>
      </w:r>
    </w:p>
    <w:p>
      <w:pPr>
        <w:adjustRightInd w:val="0"/>
        <w:spacing w:line="600" w:lineRule="exact"/>
        <w:ind w:firstLine="640" w:firstLineChars="200"/>
        <w:contextualSpacing/>
        <w:textAlignment w:val="baseline"/>
        <w:rPr>
          <w:rFonts w:ascii="仿宋_GB2312" w:hAnsi="仿宋"/>
        </w:rPr>
      </w:pPr>
      <w:r>
        <w:rPr>
          <w:rFonts w:hint="eastAsia" w:ascii="黑体" w:hAnsi="黑体" w:eastAsia="黑体"/>
          <w:snapToGrid/>
          <w:kern w:val="2"/>
        </w:rPr>
        <w:t>第十二条</w:t>
      </w:r>
      <w:bookmarkEnd w:id="33"/>
      <w:bookmarkStart w:id="34" w:name="_Toc66175225"/>
      <w:bookmarkStart w:id="35" w:name="_Toc60819287"/>
      <w:r>
        <w:rPr>
          <w:rFonts w:hint="eastAsia" w:ascii="黑体" w:hAnsi="黑体" w:eastAsia="黑体"/>
          <w:snapToGrid/>
          <w:kern w:val="2"/>
        </w:rPr>
        <w:t xml:space="preserve">  </w:t>
      </w:r>
      <w:r>
        <w:rPr>
          <w:rFonts w:hint="eastAsia" w:ascii="仿宋_GB2312" w:hAnsi="仿宋"/>
          <w:snapToGrid/>
          <w:kern w:val="2"/>
        </w:rPr>
        <w:t>因自然灾害、突发事件等原因影响正常供水的，县级以上人民政府可以采取限制用水措施，临时压减用水计划，优先保障居民生活用水。</w:t>
      </w:r>
      <w:bookmarkEnd w:id="34"/>
    </w:p>
    <w:p>
      <w:pPr>
        <w:adjustRightInd w:val="0"/>
        <w:spacing w:line="600" w:lineRule="exact"/>
        <w:ind w:firstLine="640" w:firstLineChars="200"/>
        <w:contextualSpacing/>
        <w:rPr>
          <w:rFonts w:ascii="仿宋"/>
        </w:rPr>
      </w:pPr>
    </w:p>
    <w:bookmarkEnd w:id="35"/>
    <w:p>
      <w:pPr>
        <w:spacing w:line="600" w:lineRule="exact"/>
        <w:jc w:val="center"/>
        <w:textAlignment w:val="baseline"/>
        <w:rPr>
          <w:rFonts w:ascii="黑体" w:hAnsi="黑体" w:eastAsia="黑体"/>
          <w:snapToGrid/>
          <w:kern w:val="2"/>
        </w:rPr>
      </w:pPr>
      <w:bookmarkStart w:id="36" w:name="_Toc66175226"/>
      <w:bookmarkStart w:id="37" w:name="_Toc65677305"/>
      <w:bookmarkStart w:id="38" w:name="_Toc70109433"/>
      <w:r>
        <w:rPr>
          <w:rFonts w:hint="eastAsia" w:ascii="黑体" w:hAnsi="黑体" w:eastAsia="黑体"/>
          <w:snapToGrid/>
          <w:kern w:val="2"/>
        </w:rPr>
        <w:t>第三章  节水</w:t>
      </w:r>
      <w:bookmarkEnd w:id="36"/>
      <w:bookmarkEnd w:id="37"/>
      <w:r>
        <w:rPr>
          <w:rFonts w:hint="eastAsia" w:ascii="黑体" w:hAnsi="黑体" w:eastAsia="黑体"/>
          <w:snapToGrid/>
          <w:kern w:val="2"/>
        </w:rPr>
        <w:t>管理</w:t>
      </w:r>
      <w:bookmarkEnd w:id="38"/>
    </w:p>
    <w:p>
      <w:pPr>
        <w:adjustRightInd w:val="0"/>
        <w:spacing w:line="580" w:lineRule="exact"/>
        <w:ind w:firstLine="640" w:firstLineChars="200"/>
        <w:contextualSpacing/>
        <w:rPr>
          <w:rFonts w:ascii="黑体" w:hAnsi="黑体" w:eastAsia="黑体"/>
        </w:rPr>
      </w:pPr>
      <w:bookmarkStart w:id="39" w:name="_Toc66175228"/>
      <w:bookmarkStart w:id="40" w:name="_Toc60819290"/>
    </w:p>
    <w:p>
      <w:pPr>
        <w:adjustRightInd w:val="0"/>
        <w:spacing w:line="580" w:lineRule="exact"/>
        <w:ind w:firstLine="640" w:firstLineChars="200"/>
        <w:contextualSpacing/>
        <w:textAlignment w:val="baseline"/>
        <w:rPr>
          <w:rFonts w:ascii="仿宋_GB2312" w:hAnsi="仿宋"/>
        </w:rPr>
      </w:pPr>
      <w:r>
        <w:rPr>
          <w:rFonts w:hint="eastAsia" w:ascii="黑体" w:hAnsi="黑体" w:eastAsia="黑体"/>
          <w:snapToGrid/>
          <w:kern w:val="2"/>
        </w:rPr>
        <w:t xml:space="preserve">第十三条  </w:t>
      </w:r>
      <w:r>
        <w:rPr>
          <w:rFonts w:hint="eastAsia" w:ascii="仿宋_GB2312" w:hAnsi="仿宋"/>
          <w:snapToGrid/>
          <w:kern w:val="2"/>
        </w:rPr>
        <w:t>省人民政府有关行业主管部门应当根据省人民政府批准的节约用水规划和本行业用水实际，拟定节水地方标准，经省人民政府标准化行政主管部门依法批准并发布实施。</w:t>
      </w:r>
      <w:bookmarkEnd w:id="39"/>
    </w:p>
    <w:bookmarkEnd w:id="40"/>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鼓励有关社会团体、企业制定节水团体标准或者企业标准。</w:t>
      </w:r>
    </w:p>
    <w:p>
      <w:pPr>
        <w:adjustRightInd w:val="0"/>
        <w:spacing w:line="580" w:lineRule="exact"/>
        <w:ind w:firstLine="640" w:firstLineChars="200"/>
        <w:contextualSpacing/>
        <w:textAlignment w:val="baseline"/>
        <w:rPr>
          <w:rFonts w:ascii="仿宋_GB2312" w:hAnsi="仿宋"/>
        </w:rPr>
      </w:pPr>
      <w:bookmarkStart w:id="41" w:name="tiao_18"/>
      <w:bookmarkEnd w:id="41"/>
      <w:bookmarkStart w:id="42" w:name="tiao_17_kuan_2"/>
      <w:bookmarkEnd w:id="42"/>
      <w:bookmarkStart w:id="43" w:name="tiao_18_kuan_1"/>
      <w:bookmarkEnd w:id="43"/>
      <w:bookmarkStart w:id="44" w:name="tiao_18_kuan_2"/>
      <w:bookmarkEnd w:id="44"/>
      <w:bookmarkStart w:id="45" w:name="tiao_17_kuan_3"/>
      <w:bookmarkEnd w:id="45"/>
      <w:bookmarkStart w:id="46" w:name="tiao_17_kuan_1"/>
      <w:bookmarkEnd w:id="46"/>
      <w:bookmarkStart w:id="47" w:name="_Toc60819291"/>
      <w:bookmarkStart w:id="48" w:name="_Toc66175229"/>
      <w:r>
        <w:rPr>
          <w:rFonts w:hint="eastAsia" w:ascii="黑体" w:hAnsi="黑体" w:eastAsia="黑体"/>
          <w:snapToGrid/>
          <w:kern w:val="2"/>
        </w:rPr>
        <w:t>第十四条</w:t>
      </w:r>
      <w:r>
        <w:rPr>
          <w:rFonts w:hint="eastAsia" w:ascii="仿宋" w:hAnsi="仿宋" w:eastAsia="宋体"/>
          <w:snapToGrid/>
          <w:kern w:val="2"/>
        </w:rPr>
        <w:t xml:space="preserve">  </w:t>
      </w:r>
      <w:bookmarkEnd w:id="47"/>
      <w:bookmarkEnd w:id="48"/>
      <w:r>
        <w:rPr>
          <w:rFonts w:hint="eastAsia" w:ascii="仿宋_GB2312" w:hAnsi="仿宋"/>
          <w:snapToGrid/>
          <w:kern w:val="2"/>
        </w:rPr>
        <w:t>省人民政府有关行业主管部门应当组织编制并适时修订本行政区域内行业用水定额，经省人民政府水行政主管部门和标准化行政主管部门依法批准并发布实施。</w:t>
      </w:r>
    </w:p>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编制区域发展和行业发展规划，开展取水许可审批、计划用水核定、节水评价、节水载体评定以及节水监督检查等，应当将用水定额作为重要依据。</w:t>
      </w:r>
    </w:p>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设区的市可以制定严于国家和省规定的用水定额。</w:t>
      </w:r>
    </w:p>
    <w:p>
      <w:pPr>
        <w:adjustRightInd w:val="0"/>
        <w:spacing w:line="580" w:lineRule="exact"/>
        <w:ind w:firstLine="640" w:firstLineChars="200"/>
        <w:contextualSpacing/>
        <w:textAlignment w:val="baseline"/>
        <w:rPr>
          <w:rFonts w:ascii="仿宋_GB2312" w:hAnsi="仿宋"/>
        </w:rPr>
      </w:pPr>
      <w:r>
        <w:rPr>
          <w:rFonts w:hint="eastAsia" w:ascii="黑体" w:hAnsi="黑体" w:eastAsia="黑体"/>
          <w:snapToGrid/>
          <w:kern w:val="2"/>
        </w:rPr>
        <w:t xml:space="preserve">第十五条  </w:t>
      </w:r>
      <w:r>
        <w:rPr>
          <w:rFonts w:hint="eastAsia" w:ascii="仿宋_GB2312" w:hAnsi="仿宋"/>
          <w:snapToGrid/>
          <w:kern w:val="2"/>
        </w:rPr>
        <w:t>涉及取用水的相关规划和需要办理取水许可的建设项目，应当按照国家和省有关规定开展水资源论证；水资源论证应当包括节水评价内容，合理确定用水规模。</w:t>
      </w:r>
    </w:p>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行政审批服务机构应当定期将建设项目节水评价开展情况抄送同级水行政主管部门。</w:t>
      </w:r>
    </w:p>
    <w:p>
      <w:pPr>
        <w:adjustRightInd w:val="0"/>
        <w:spacing w:line="580" w:lineRule="exact"/>
        <w:ind w:firstLine="640" w:firstLineChars="200"/>
        <w:contextualSpacing/>
        <w:textAlignment w:val="baseline"/>
        <w:rPr>
          <w:rFonts w:ascii="仿宋_GB2312" w:hAnsi="仿宋"/>
        </w:rPr>
      </w:pPr>
      <w:bookmarkStart w:id="49" w:name="_Toc66175230"/>
      <w:bookmarkStart w:id="50" w:name="_Toc60819292"/>
      <w:r>
        <w:rPr>
          <w:rFonts w:hint="eastAsia" w:ascii="黑体" w:hAnsi="黑体" w:eastAsia="黑体"/>
          <w:snapToGrid/>
          <w:kern w:val="2"/>
        </w:rPr>
        <w:t xml:space="preserve">第十六条  </w:t>
      </w:r>
      <w:bookmarkEnd w:id="49"/>
      <w:bookmarkStart w:id="51" w:name="_Toc66175231"/>
      <w:r>
        <w:rPr>
          <w:rFonts w:hint="eastAsia" w:ascii="仿宋_GB2312" w:hAnsi="仿宋"/>
          <w:snapToGrid/>
          <w:kern w:val="2"/>
        </w:rPr>
        <w:t>用水产品的生产者可以根据国家规定申请节水产品认证，取得节水产品认证证书，使用节水产品认证标志。禁止伪造或者冒用节水产品认证标志。</w:t>
      </w:r>
      <w:bookmarkEnd w:id="51"/>
    </w:p>
    <w:bookmarkEnd w:id="50"/>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通过节水产品认证的，优先列入政府采购名录；政府优先采购或者政府强制采购的，应当符合国家和省规定的条件。</w:t>
      </w:r>
    </w:p>
    <w:p>
      <w:pPr>
        <w:adjustRightInd w:val="0"/>
        <w:spacing w:line="580" w:lineRule="exact"/>
        <w:ind w:firstLine="640" w:firstLineChars="200"/>
        <w:contextualSpacing/>
        <w:textAlignment w:val="baseline"/>
        <w:rPr>
          <w:rFonts w:ascii="仿宋_GB2312" w:hAnsi="仿宋"/>
        </w:rPr>
      </w:pPr>
      <w:bookmarkStart w:id="52" w:name="_Toc66175232"/>
      <w:bookmarkStart w:id="53" w:name="_Toc60819293"/>
      <w:r>
        <w:rPr>
          <w:rFonts w:hint="eastAsia" w:ascii="黑体" w:hAnsi="黑体" w:eastAsia="黑体"/>
          <w:snapToGrid/>
          <w:kern w:val="2"/>
        </w:rPr>
        <w:t xml:space="preserve">第十七条  </w:t>
      </w:r>
      <w:bookmarkEnd w:id="52"/>
      <w:bookmarkStart w:id="54" w:name="_Toc66175233"/>
      <w:r>
        <w:rPr>
          <w:rFonts w:hint="eastAsia" w:ascii="仿宋_GB2312" w:hAnsi="仿宋"/>
          <w:snapToGrid/>
          <w:kern w:val="2"/>
        </w:rPr>
        <w:t>列入国家实施水效标识产品目录的产品，其生产者、进口者应当按照有关规定标注水效标识，并对水效标识以及相关信息的准确性负责。</w:t>
      </w:r>
      <w:bookmarkEnd w:id="54"/>
    </w:p>
    <w:bookmarkEnd w:id="53"/>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禁止销售应当标注而未标注水效标识的产品，禁止伪造、冒用水效标识或者利用水效标识进行虚假宣传。</w:t>
      </w:r>
      <w:bookmarkStart w:id="55" w:name="_Toc66175234"/>
      <w:bookmarkStart w:id="56" w:name="_Toc60819294"/>
    </w:p>
    <w:p>
      <w:pPr>
        <w:adjustRightInd w:val="0"/>
        <w:spacing w:line="580" w:lineRule="exact"/>
        <w:ind w:firstLine="640" w:firstLineChars="200"/>
        <w:contextualSpacing/>
        <w:textAlignment w:val="baseline"/>
        <w:rPr>
          <w:rFonts w:ascii="仿宋_GB2312" w:hAnsi="仿宋"/>
        </w:rPr>
      </w:pPr>
      <w:r>
        <w:rPr>
          <w:rFonts w:hint="eastAsia" w:ascii="黑体" w:hAnsi="黑体" w:eastAsia="黑体"/>
          <w:snapToGrid/>
          <w:kern w:val="2"/>
        </w:rPr>
        <w:t>第十八条</w:t>
      </w:r>
      <w:r>
        <w:rPr>
          <w:rFonts w:hint="eastAsia" w:ascii="仿宋" w:hAnsi="仿宋" w:eastAsia="宋体"/>
          <w:snapToGrid/>
          <w:kern w:val="2"/>
        </w:rPr>
        <w:t xml:space="preserve">  </w:t>
      </w:r>
      <w:r>
        <w:rPr>
          <w:rFonts w:hint="eastAsia" w:ascii="仿宋_GB2312" w:hAnsi="仿宋"/>
          <w:snapToGrid/>
          <w:kern w:val="2"/>
        </w:rPr>
        <w:t>禁止生产、销售或者使用国家和省明令淘汰的高耗水工艺、设备和产品。</w:t>
      </w:r>
    </w:p>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省人民政府工业和信息化主管部门会同有关部门制定并发布高耗水工艺、设备和产品名录。</w:t>
      </w:r>
      <w:bookmarkEnd w:id="55"/>
    </w:p>
    <w:bookmarkEnd w:id="56"/>
    <w:p>
      <w:pPr>
        <w:adjustRightInd w:val="0"/>
        <w:spacing w:line="580" w:lineRule="exact"/>
        <w:ind w:firstLine="640" w:firstLineChars="200"/>
        <w:contextualSpacing/>
        <w:textAlignment w:val="baseline"/>
        <w:rPr>
          <w:rFonts w:ascii="仿宋"/>
        </w:rPr>
      </w:pPr>
      <w:bookmarkStart w:id="57" w:name="_Toc66175235"/>
      <w:bookmarkStart w:id="58" w:name="_Toc60819295"/>
      <w:r>
        <w:rPr>
          <w:rFonts w:hint="eastAsia" w:ascii="黑体" w:hAnsi="黑体" w:eastAsia="黑体"/>
          <w:snapToGrid/>
          <w:kern w:val="2"/>
        </w:rPr>
        <w:t xml:space="preserve">第十九条  </w:t>
      </w:r>
      <w:r>
        <w:rPr>
          <w:rFonts w:hint="eastAsia" w:ascii="仿宋_GB2312" w:hAnsi="仿宋"/>
          <w:snapToGrid/>
          <w:kern w:val="2"/>
        </w:rPr>
        <w:t>县级以上人民政府统计机构应当会同水行政主管部门建立用水节水统计调查制度，健全用水节水统计指标体系，完善统计方法，保证统计资料真实、准确、及时和完整，并定期公布统计信息。</w:t>
      </w:r>
      <w:bookmarkEnd w:id="57"/>
    </w:p>
    <w:bookmarkEnd w:id="58"/>
    <w:p>
      <w:pPr>
        <w:adjustRightInd w:val="0"/>
        <w:spacing w:line="580" w:lineRule="exact"/>
        <w:ind w:firstLine="640" w:firstLineChars="200"/>
        <w:contextualSpacing/>
        <w:textAlignment w:val="baseline"/>
        <w:rPr>
          <w:rFonts w:ascii="仿宋_GB2312" w:hAnsi="仿宋"/>
        </w:rPr>
      </w:pPr>
      <w:bookmarkStart w:id="59" w:name="_Toc66175236"/>
      <w:bookmarkStart w:id="60" w:name="_Toc60819296"/>
      <w:r>
        <w:rPr>
          <w:rFonts w:hint="eastAsia" w:ascii="黑体" w:hAnsi="黑体" w:eastAsia="黑体"/>
          <w:snapToGrid/>
          <w:kern w:val="2"/>
        </w:rPr>
        <w:t xml:space="preserve">第二十条  </w:t>
      </w:r>
      <w:r>
        <w:rPr>
          <w:rFonts w:hint="eastAsia" w:ascii="仿宋_GB2312" w:hAnsi="仿宋"/>
          <w:snapToGrid/>
          <w:kern w:val="2"/>
        </w:rPr>
        <w:t>省、设区的市人民政府水行政主管部门应当会同有关部门，建立重点用水单位监督机制，将年取用水量达到国家、省和设区的市规定规模的用水单位纳入重点用水单位名录，进行重点监控。</w:t>
      </w:r>
    </w:p>
    <w:bookmarkEnd w:id="59"/>
    <w:bookmarkEnd w:id="60"/>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县（市、区）人民政府水行政主管部门可以根据当地节约用水工作的需要，建立县级重点用水单位监控名录。</w:t>
      </w:r>
    </w:p>
    <w:p>
      <w:pPr>
        <w:adjustRightInd w:val="0"/>
        <w:spacing w:line="580" w:lineRule="exact"/>
        <w:ind w:firstLine="640" w:firstLineChars="200"/>
        <w:contextualSpacing/>
        <w:textAlignment w:val="baseline"/>
        <w:rPr>
          <w:rFonts w:ascii="仿宋_GB2312" w:hAnsi="仿宋"/>
        </w:rPr>
      </w:pPr>
      <w:bookmarkStart w:id="61" w:name="_Toc60819297"/>
      <w:bookmarkStart w:id="62" w:name="_Toc66175237"/>
      <w:r>
        <w:rPr>
          <w:rFonts w:hint="eastAsia" w:ascii="黑体" w:hAnsi="黑体" w:eastAsia="黑体"/>
          <w:snapToGrid/>
          <w:kern w:val="2"/>
        </w:rPr>
        <w:t xml:space="preserve">第二十一条  </w:t>
      </w:r>
      <w:r>
        <w:rPr>
          <w:rFonts w:hint="eastAsia" w:ascii="仿宋_GB2312" w:hAnsi="仿宋"/>
          <w:snapToGrid/>
          <w:kern w:val="2"/>
        </w:rPr>
        <w:t>设区的市人民政府水行政主管部门应当根据国家和省有关规定建立水平衡测试制度，</w:t>
      </w:r>
      <w:bookmarkEnd w:id="61"/>
      <w:bookmarkEnd w:id="62"/>
      <w:r>
        <w:rPr>
          <w:rFonts w:hint="eastAsia" w:ascii="仿宋_GB2312" w:hAnsi="仿宋"/>
          <w:snapToGrid/>
          <w:kern w:val="2"/>
        </w:rPr>
        <w:t>引导和规范用水单位开展水平衡测试。</w:t>
      </w:r>
    </w:p>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水平衡测试结果可以作为用水单位申请或者调整用水计划、申报或者复核节水载体等的依据。</w:t>
      </w:r>
    </w:p>
    <w:p>
      <w:pPr>
        <w:adjustRightInd w:val="0"/>
        <w:spacing w:line="580" w:lineRule="exact"/>
        <w:ind w:firstLine="640" w:firstLineChars="200"/>
        <w:contextualSpacing/>
        <w:textAlignment w:val="baseline"/>
        <w:rPr>
          <w:rFonts w:ascii="仿宋_GB2312" w:hAnsi="仿宋"/>
        </w:rPr>
      </w:pPr>
      <w:bookmarkStart w:id="63" w:name="_Toc60819298"/>
      <w:bookmarkStart w:id="64" w:name="_Toc66175238"/>
      <w:r>
        <w:rPr>
          <w:rFonts w:hint="eastAsia" w:ascii="黑体" w:hAnsi="黑体" w:eastAsia="黑体"/>
          <w:snapToGrid/>
          <w:kern w:val="2"/>
        </w:rPr>
        <w:t>第二十二条</w:t>
      </w:r>
      <w:bookmarkEnd w:id="63"/>
      <w:r>
        <w:rPr>
          <w:rFonts w:hint="eastAsia" w:ascii="黑体" w:hAnsi="黑体" w:eastAsia="黑体"/>
          <w:snapToGrid/>
          <w:kern w:val="2"/>
        </w:rPr>
        <w:t xml:space="preserve">  </w:t>
      </w:r>
      <w:r>
        <w:rPr>
          <w:rFonts w:hint="eastAsia" w:ascii="仿宋_GB2312" w:hAnsi="仿宋"/>
          <w:snapToGrid/>
          <w:kern w:val="2"/>
        </w:rPr>
        <w:t>新建、改建、扩建建设项目，应当制定节水措施方案，配套建设节水设施；节水设施应当与主体工程同时设计、同时施工、同时投入使用。</w:t>
      </w:r>
      <w:bookmarkEnd w:id="64"/>
    </w:p>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建设项目竣工验收</w:t>
      </w:r>
      <w:r>
        <w:rPr>
          <w:rFonts w:ascii="仿宋_GB2312" w:hAnsi="仿宋"/>
          <w:snapToGrid/>
          <w:kern w:val="2"/>
        </w:rPr>
        <w:t>,应当包含配套建设的节水设施验收</w:t>
      </w:r>
      <w:r>
        <w:rPr>
          <w:rFonts w:hint="eastAsia" w:ascii="仿宋_GB2312" w:hAnsi="仿宋"/>
          <w:snapToGrid/>
          <w:kern w:val="2"/>
        </w:rPr>
        <w:t>；节水设施未经验收或者经验收不合格的，建设项目不得投入使用。</w:t>
      </w:r>
    </w:p>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用水单位应当加强节水设施运行维护管理，不得擅自停止使用节水设施。</w:t>
      </w:r>
    </w:p>
    <w:p>
      <w:pPr>
        <w:adjustRightInd w:val="0"/>
        <w:spacing w:line="580" w:lineRule="exact"/>
        <w:ind w:firstLine="640" w:firstLineChars="200"/>
        <w:contextualSpacing/>
        <w:textAlignment w:val="baseline"/>
        <w:rPr>
          <w:rFonts w:ascii="楷体_GB2312" w:hAnsi="楷体_GB2312" w:eastAsia="楷体_GB2312" w:cs="楷体_GB2312"/>
          <w:b/>
          <w:bCs/>
          <w:color w:val="FF0000"/>
        </w:rPr>
      </w:pPr>
      <w:r>
        <w:rPr>
          <w:rFonts w:hint="eastAsia" w:ascii="仿宋_GB2312" w:hAnsi="仿宋"/>
          <w:snapToGrid/>
          <w:kern w:val="2"/>
        </w:rPr>
        <w:t>本条所称节水设施，包括节水器具、设备、计量设施、再生水回用系统、雨水收集利用系统和建筑中水利用系统等。</w:t>
      </w:r>
    </w:p>
    <w:p>
      <w:pPr>
        <w:adjustRightInd w:val="0"/>
        <w:spacing w:line="580" w:lineRule="exact"/>
        <w:ind w:firstLine="640" w:firstLineChars="200"/>
        <w:contextualSpacing/>
        <w:textAlignment w:val="baseline"/>
        <w:rPr>
          <w:rFonts w:ascii="仿宋_GB2312" w:hAnsi="仿宋"/>
        </w:rPr>
      </w:pPr>
      <w:bookmarkStart w:id="65" w:name="_Toc60819302"/>
      <w:bookmarkStart w:id="66" w:name="_Toc66175241"/>
      <w:r>
        <w:rPr>
          <w:rFonts w:hint="eastAsia" w:ascii="黑体" w:hAnsi="黑体" w:eastAsia="黑体"/>
          <w:snapToGrid/>
          <w:kern w:val="2"/>
        </w:rPr>
        <w:t xml:space="preserve">第二十三条  </w:t>
      </w:r>
      <w:r>
        <w:rPr>
          <w:rFonts w:hint="eastAsia" w:ascii="仿宋_GB2312" w:hAnsi="仿宋"/>
          <w:snapToGrid/>
          <w:kern w:val="2"/>
        </w:rPr>
        <w:t>纳入取水许可管理的单位和个人应当按照国家标准安装用水计量设施，并保证计量设施正常运行</w:t>
      </w:r>
      <w:bookmarkEnd w:id="65"/>
      <w:r>
        <w:rPr>
          <w:rFonts w:hint="eastAsia" w:ascii="仿宋_GB2312" w:hAnsi="仿宋"/>
          <w:snapToGrid/>
          <w:kern w:val="2"/>
        </w:rPr>
        <w:t>；未安装计量设施或者已安装的计量设施不能正常运行的，其取用水量按照取用水设施满负荷取用水量计算。</w:t>
      </w:r>
      <w:bookmarkEnd w:id="66"/>
    </w:p>
    <w:p>
      <w:pPr>
        <w:adjustRightInd w:val="0"/>
        <w:spacing w:line="580" w:lineRule="exact"/>
        <w:ind w:firstLine="640" w:firstLineChars="200"/>
        <w:contextualSpacing/>
        <w:textAlignment w:val="baseline"/>
        <w:rPr>
          <w:rFonts w:ascii="仿宋_GB2312" w:hAnsi="仿宋"/>
        </w:rPr>
      </w:pPr>
      <w:bookmarkStart w:id="67" w:name="_Toc66175242"/>
      <w:bookmarkStart w:id="68" w:name="_Toc60819303"/>
      <w:r>
        <w:rPr>
          <w:rFonts w:hint="eastAsia" w:ascii="仿宋_GB2312" w:hAnsi="仿宋"/>
          <w:snapToGrid/>
          <w:kern w:val="2"/>
        </w:rPr>
        <w:t>用水单位有两类以上不同用途用水的，应当按照规定分别安装计量设施；未区分用途安装计量设施的，按照用水类别中最高水价或者水资源税标准缴纳水费或者水资源税。</w:t>
      </w:r>
      <w:bookmarkEnd w:id="67"/>
    </w:p>
    <w:bookmarkEnd w:id="68"/>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新建、改建、扩建灌区、泵站、机井以及规模化农业生产等农业建设项目，应当配备必要的用水计量设施。</w:t>
      </w:r>
    </w:p>
    <w:p>
      <w:pPr>
        <w:adjustRightInd w:val="0"/>
        <w:spacing w:line="580" w:lineRule="exact"/>
        <w:ind w:firstLine="640" w:firstLineChars="200"/>
        <w:contextualSpacing/>
        <w:textAlignment w:val="baseline"/>
        <w:rPr>
          <w:rFonts w:ascii="仿宋_GB2312" w:hAnsi="仿宋"/>
        </w:rPr>
      </w:pPr>
      <w:bookmarkStart w:id="69" w:name="_Toc66175243"/>
      <w:bookmarkStart w:id="70" w:name="_Toc60819304"/>
      <w:r>
        <w:rPr>
          <w:rFonts w:hint="eastAsia" w:ascii="黑体" w:hAnsi="黑体" w:eastAsia="黑体"/>
          <w:snapToGrid/>
          <w:kern w:val="2"/>
        </w:rPr>
        <w:t xml:space="preserve">第二十四条  </w:t>
      </w:r>
      <w:r>
        <w:rPr>
          <w:rFonts w:hint="eastAsia" w:ascii="仿宋_GB2312" w:hAnsi="仿宋"/>
          <w:snapToGrid/>
          <w:kern w:val="2"/>
        </w:rPr>
        <w:t>县级以上人民政府发展改革部门应当会同有关部门，建立完善水价形成机制，区分不同用水，实行差异化水价。</w:t>
      </w:r>
      <w:bookmarkEnd w:id="69"/>
    </w:p>
    <w:bookmarkEnd w:id="70"/>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农业用水执行农业水价。农业水价应当统筹供水成本、水资源稀缺程度以及用户承受能力等因素合理确定，原则上不低于工程运行维护成本水平，逐步实行超定额累进加价制度。</w:t>
      </w:r>
    </w:p>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洗车、洗浴、高尔夫球场、人工滑雪场等特种用水行业的用水执行特种水价。特种用水行业的范围，由设区的市人民政府根据当地实际确定。</w:t>
      </w:r>
    </w:p>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再生水水价应当根据其水质、成本以及用途、用量等因素，由供需双方协商确定。</w:t>
      </w:r>
    </w:p>
    <w:p>
      <w:pPr>
        <w:adjustRightInd w:val="0"/>
        <w:spacing w:line="580" w:lineRule="exact"/>
        <w:ind w:firstLine="640" w:firstLineChars="200"/>
        <w:contextualSpacing/>
        <w:textAlignment w:val="baseline"/>
        <w:rPr>
          <w:rFonts w:ascii="仿宋_GB2312" w:hAnsi="仿宋"/>
        </w:rPr>
      </w:pPr>
      <w:bookmarkStart w:id="71" w:name="_Toc66175244"/>
      <w:bookmarkStart w:id="72" w:name="_Toc60819305"/>
      <w:r>
        <w:rPr>
          <w:rFonts w:hint="eastAsia" w:ascii="黑体" w:hAnsi="黑体" w:eastAsia="黑体"/>
          <w:snapToGrid/>
          <w:kern w:val="2"/>
        </w:rPr>
        <w:t xml:space="preserve">第二十五条  </w:t>
      </w:r>
      <w:r>
        <w:rPr>
          <w:rFonts w:hint="eastAsia" w:ascii="仿宋_GB2312" w:hAnsi="仿宋"/>
          <w:snapToGrid/>
          <w:kern w:val="2"/>
        </w:rPr>
        <w:t>城镇居民生活用水实行阶梯水价；集中供水的农村居民生活用水按照国家和省有关规定逐步推行阶梯水价。</w:t>
      </w:r>
      <w:bookmarkEnd w:id="71"/>
    </w:p>
    <w:bookmarkEnd w:id="72"/>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非居民用水实行超计划、超定额累进加价制度。</w:t>
      </w:r>
    </w:p>
    <w:p>
      <w:pPr>
        <w:adjustRightInd w:val="0"/>
        <w:spacing w:line="580" w:lineRule="exact"/>
        <w:ind w:firstLine="640" w:firstLineChars="200"/>
        <w:contextualSpacing/>
        <w:rPr>
          <w:rFonts w:ascii="仿宋_GB2312" w:hAnsi="仿宋"/>
        </w:rPr>
      </w:pPr>
    </w:p>
    <w:p>
      <w:pPr>
        <w:spacing w:line="580" w:lineRule="exact"/>
        <w:jc w:val="center"/>
        <w:textAlignment w:val="baseline"/>
        <w:rPr>
          <w:rFonts w:ascii="黑体" w:hAnsi="黑体" w:eastAsia="黑体"/>
        </w:rPr>
      </w:pPr>
      <w:bookmarkStart w:id="73" w:name="_Toc66175245"/>
      <w:bookmarkStart w:id="74" w:name="_Toc70109434"/>
      <w:bookmarkStart w:id="75" w:name="_Toc65677306"/>
      <w:r>
        <w:rPr>
          <w:rFonts w:hint="eastAsia" w:ascii="黑体" w:hAnsi="黑体" w:eastAsia="黑体"/>
          <w:snapToGrid/>
          <w:kern w:val="2"/>
        </w:rPr>
        <w:t>第四章</w:t>
      </w:r>
      <w:bookmarkEnd w:id="73"/>
      <w:bookmarkEnd w:id="74"/>
      <w:bookmarkEnd w:id="75"/>
      <w:r>
        <w:rPr>
          <w:rFonts w:hint="eastAsia" w:ascii="黑体" w:hAnsi="黑体" w:eastAsia="黑体"/>
          <w:snapToGrid/>
          <w:kern w:val="2"/>
        </w:rPr>
        <w:t xml:space="preserve">  节水措施</w:t>
      </w:r>
    </w:p>
    <w:p>
      <w:pPr>
        <w:adjustRightInd w:val="0"/>
        <w:spacing w:line="580" w:lineRule="exact"/>
        <w:ind w:firstLine="640" w:firstLineChars="200"/>
        <w:contextualSpacing/>
        <w:rPr>
          <w:rFonts w:ascii="黑体" w:hAnsi="黑体" w:eastAsia="黑体"/>
        </w:rPr>
      </w:pPr>
      <w:bookmarkStart w:id="76" w:name="_Toc66175246"/>
      <w:bookmarkStart w:id="77" w:name="_Toc60819308"/>
    </w:p>
    <w:p>
      <w:pPr>
        <w:adjustRightInd w:val="0"/>
        <w:spacing w:line="580" w:lineRule="exact"/>
        <w:ind w:firstLine="640" w:firstLineChars="200"/>
        <w:contextualSpacing/>
        <w:textAlignment w:val="baseline"/>
        <w:rPr>
          <w:rFonts w:ascii="仿宋_GB2312" w:hAnsi="仿宋"/>
        </w:rPr>
      </w:pPr>
      <w:r>
        <w:rPr>
          <w:rFonts w:hint="eastAsia" w:ascii="黑体" w:hAnsi="黑体" w:eastAsia="黑体"/>
          <w:snapToGrid/>
          <w:kern w:val="2"/>
        </w:rPr>
        <w:t xml:space="preserve">第二十六条  </w:t>
      </w:r>
      <w:r>
        <w:rPr>
          <w:rFonts w:hint="eastAsia" w:ascii="仿宋_GB2312" w:hAnsi="仿宋"/>
          <w:snapToGrid/>
          <w:kern w:val="2"/>
        </w:rPr>
        <w:t>县级以上人民政府应当优化产业结构，合理确定城乡经济社会发展布局和规模，发展节水型工业、农业和服务业，提高水资源利用效率。</w:t>
      </w:r>
      <w:bookmarkEnd w:id="76"/>
    </w:p>
    <w:p>
      <w:pPr>
        <w:adjustRightInd w:val="0"/>
        <w:spacing w:line="580" w:lineRule="exact"/>
        <w:ind w:firstLine="640" w:firstLineChars="200"/>
        <w:contextualSpacing/>
        <w:textAlignment w:val="baseline"/>
        <w:rPr>
          <w:rFonts w:ascii="仿宋_GB2312" w:hAnsi="仿宋"/>
        </w:rPr>
      </w:pPr>
      <w:bookmarkStart w:id="78" w:name="_Toc66175247"/>
      <w:r>
        <w:rPr>
          <w:rFonts w:hint="eastAsia" w:ascii="仿宋_GB2312" w:hAnsi="仿宋"/>
          <w:snapToGrid/>
          <w:kern w:val="2"/>
        </w:rPr>
        <w:t>县级以上人民政府应当将再生水、集蓄雨水、淡化海水、微咸水、矿坑水等非常规水纳入水资源统一配置，优化用水结构，提高非常规水利用率。</w:t>
      </w:r>
      <w:bookmarkEnd w:id="78"/>
    </w:p>
    <w:p>
      <w:pPr>
        <w:adjustRightInd w:val="0"/>
        <w:spacing w:line="580" w:lineRule="exact"/>
        <w:ind w:firstLine="640" w:firstLineChars="200"/>
        <w:contextualSpacing/>
        <w:textAlignment w:val="baseline"/>
        <w:rPr>
          <w:rFonts w:ascii="仿宋_GB2312" w:hAnsi="仿宋"/>
        </w:rPr>
      </w:pPr>
      <w:r>
        <w:rPr>
          <w:rFonts w:hint="eastAsia" w:ascii="黑体" w:hAnsi="黑体" w:eastAsia="黑体"/>
          <w:snapToGrid/>
          <w:kern w:val="2"/>
        </w:rPr>
        <w:t xml:space="preserve">第二十七条  </w:t>
      </w:r>
      <w:r>
        <w:rPr>
          <w:rFonts w:hint="eastAsia" w:ascii="仿宋_GB2312" w:hAnsi="仿宋"/>
          <w:snapToGrid/>
          <w:kern w:val="2"/>
        </w:rPr>
        <w:t>工业企业应当采用先进技术、工艺和设备，统筹供排水、污水处理以及回用，增加循环用水次数，提高水的重复利用率，工业间接冷却水、冷凝水应当循环使用或者回收利用，不得直接排放。</w:t>
      </w:r>
    </w:p>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以水为主要原料的饮用水生产企业以及现场制售饮用水的经营者，应当采用节水技术和工艺，产水率不得低于国家和省规定的标准；产生</w:t>
      </w:r>
      <w:r>
        <w:rPr>
          <w:rFonts w:ascii="仿宋_GB2312" w:hAnsi="仿宋"/>
          <w:snapToGrid/>
          <w:kern w:val="2"/>
        </w:rPr>
        <w:t>的尾水</w:t>
      </w:r>
      <w:r>
        <w:rPr>
          <w:rFonts w:hint="eastAsia" w:ascii="仿宋_GB2312" w:hAnsi="仿宋"/>
          <w:snapToGrid/>
          <w:kern w:val="2"/>
        </w:rPr>
        <w:t>具备条件的，应当进行</w:t>
      </w:r>
      <w:r>
        <w:rPr>
          <w:rFonts w:ascii="仿宋_GB2312" w:hAnsi="仿宋"/>
          <w:snapToGrid/>
          <w:kern w:val="2"/>
        </w:rPr>
        <w:t>回收利用</w:t>
      </w:r>
      <w:r>
        <w:rPr>
          <w:rFonts w:hint="eastAsia" w:ascii="仿宋_GB2312" w:hAnsi="仿宋"/>
          <w:snapToGrid/>
          <w:kern w:val="2"/>
        </w:rPr>
        <w:t>。</w:t>
      </w:r>
    </w:p>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火力发电、钢铁、纺织、造纸、石化和化工等高耗水工业企业应当开展节水技术改造，改进用水工艺和设备，加强废水深度处理回用，降低单位产品耗水量；新建、改建、扩建高耗水工业企业，其用水应当符合用水定额先进值。</w:t>
      </w:r>
    </w:p>
    <w:bookmarkEnd w:id="77"/>
    <w:p>
      <w:pPr>
        <w:adjustRightInd w:val="0"/>
        <w:spacing w:line="580" w:lineRule="exact"/>
        <w:ind w:firstLine="640" w:firstLineChars="200"/>
        <w:contextualSpacing/>
        <w:textAlignment w:val="baseline"/>
        <w:rPr>
          <w:rFonts w:ascii="仿宋_GB2312" w:hAnsi="仿宋"/>
        </w:rPr>
      </w:pPr>
      <w:bookmarkStart w:id="79" w:name="_Toc66175249"/>
      <w:bookmarkStart w:id="80" w:name="_Toc60819309"/>
      <w:r>
        <w:rPr>
          <w:rFonts w:hint="eastAsia" w:ascii="黑体" w:hAnsi="黑体" w:eastAsia="黑体"/>
          <w:snapToGrid/>
          <w:kern w:val="2"/>
        </w:rPr>
        <w:t xml:space="preserve">第二十八条  </w:t>
      </w:r>
      <w:r>
        <w:rPr>
          <w:rFonts w:ascii="仿宋_GB2312" w:hAnsi="仿宋"/>
          <w:snapToGrid/>
          <w:kern w:val="2"/>
        </w:rPr>
        <w:t>依法设立的开发区、</w:t>
      </w:r>
      <w:r>
        <w:fldChar w:fldCharType="begin"/>
      </w:r>
      <w:r>
        <w:instrText xml:space="preserve"> HYPERLINK "https://baike.baidu.com/item/%E6%B5%B7%E5%85%B3%E7%89%B9%E6%AE%8A%E7%9B%91%E7%AE%A1%E5%8C%BA%E5%9F%9F/1171280" \t "_blank" </w:instrText>
      </w:r>
      <w:r>
        <w:fldChar w:fldCharType="separate"/>
      </w:r>
      <w:r>
        <w:rPr>
          <w:rFonts w:ascii="仿宋_GB2312" w:hAnsi="仿宋"/>
          <w:snapToGrid/>
          <w:kern w:val="2"/>
        </w:rPr>
        <w:t>海关特殊监管区域</w:t>
      </w:r>
      <w:r>
        <w:rPr>
          <w:rFonts w:ascii="仿宋_GB2312" w:hAnsi="仿宋"/>
          <w:snapToGrid/>
          <w:kern w:val="2"/>
        </w:rPr>
        <w:fldChar w:fldCharType="end"/>
      </w:r>
      <w:r>
        <w:rPr>
          <w:rFonts w:ascii="仿宋_GB2312" w:hAnsi="仿宋"/>
          <w:snapToGrid/>
          <w:kern w:val="2"/>
        </w:rPr>
        <w:t>、新区</w:t>
      </w:r>
      <w:r>
        <w:rPr>
          <w:rFonts w:hint="eastAsia" w:ascii="仿宋_GB2312" w:hAnsi="仿宋"/>
          <w:snapToGrid/>
          <w:kern w:val="2"/>
        </w:rPr>
        <w:t>等产业集聚区域的规划布局，应当统筹供水、排水、水处理以及循环利用设施建设，推动实施区内用水单位间用水的串联使用和循环利用。</w:t>
      </w:r>
      <w:bookmarkEnd w:id="79"/>
    </w:p>
    <w:bookmarkEnd w:id="80"/>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前款规定的产业集聚区域应当按照国家和省有关规定推行水资源论证区域评估。</w:t>
      </w:r>
    </w:p>
    <w:p>
      <w:pPr>
        <w:adjustRightInd w:val="0"/>
        <w:spacing w:line="580" w:lineRule="exact"/>
        <w:ind w:firstLine="640" w:firstLineChars="200"/>
        <w:contextualSpacing/>
        <w:textAlignment w:val="baseline"/>
        <w:rPr>
          <w:rFonts w:ascii="仿宋_GB2312" w:hAnsi="仿宋"/>
        </w:rPr>
      </w:pPr>
      <w:bookmarkStart w:id="81" w:name="_Toc66175250"/>
      <w:bookmarkStart w:id="82" w:name="_Toc60819311"/>
      <w:r>
        <w:rPr>
          <w:rFonts w:hint="eastAsia" w:ascii="黑体" w:hAnsi="黑体" w:eastAsia="黑体"/>
          <w:snapToGrid/>
          <w:kern w:val="2"/>
        </w:rPr>
        <w:t xml:space="preserve">第二十九条  </w:t>
      </w:r>
      <w:r>
        <w:rPr>
          <w:rFonts w:hint="eastAsia" w:ascii="仿宋_GB2312" w:hAnsi="仿宋"/>
          <w:snapToGrid/>
          <w:kern w:val="2"/>
        </w:rPr>
        <w:t>县级以上人民政府应当采取措施，引导和推动农业生产布局、农作物种植结构以及农林牧渔业用水结构的合理调整，健全完善农田灌溉排水工程体系，推广农业节水技术、工艺和设备，发展节水灌溉，建设节水型农业示范区和节水型灌区。</w:t>
      </w:r>
      <w:bookmarkEnd w:id="81"/>
    </w:p>
    <w:bookmarkEnd w:id="82"/>
    <w:p>
      <w:pPr>
        <w:adjustRightInd w:val="0"/>
        <w:spacing w:line="580" w:lineRule="exact"/>
        <w:ind w:firstLine="640" w:firstLineChars="200"/>
        <w:contextualSpacing/>
        <w:textAlignment w:val="baseline"/>
        <w:rPr>
          <w:rFonts w:ascii="仿宋_GB2312" w:hAnsi="仿宋"/>
        </w:rPr>
      </w:pPr>
      <w:bookmarkStart w:id="83" w:name="_Toc66175251"/>
      <w:bookmarkStart w:id="84" w:name="_Toc60819312"/>
      <w:r>
        <w:rPr>
          <w:rFonts w:hint="eastAsia" w:ascii="黑体" w:hAnsi="黑体" w:eastAsia="黑体"/>
          <w:snapToGrid/>
          <w:kern w:val="2"/>
        </w:rPr>
        <w:t xml:space="preserve">第三十条  </w:t>
      </w:r>
      <w:r>
        <w:rPr>
          <w:rFonts w:hint="eastAsia" w:ascii="仿宋_GB2312" w:hAnsi="仿宋"/>
          <w:snapToGrid/>
          <w:kern w:val="2"/>
        </w:rPr>
        <w:t>县（市、区）人民政府农业农村主管部门应当会同有关部门和乡镇人民政府，因地制宜推广节水灌溉和水肥一体化等技术，加强节水工程与农机、农艺、生物等措施相结合，提高用水效率。</w:t>
      </w:r>
      <w:bookmarkEnd w:id="83"/>
    </w:p>
    <w:p>
      <w:pPr>
        <w:adjustRightInd w:val="0"/>
        <w:spacing w:line="580" w:lineRule="exact"/>
        <w:ind w:firstLine="640" w:firstLineChars="200"/>
        <w:contextualSpacing/>
        <w:textAlignment w:val="baseline"/>
        <w:rPr>
          <w:rFonts w:ascii="仿宋_GB2312" w:hAnsi="仿宋"/>
          <w:shd w:val="pct10" w:color="auto" w:fill="FFFFFF"/>
        </w:rPr>
      </w:pPr>
      <w:bookmarkStart w:id="85" w:name="_Toc66175252"/>
      <w:r>
        <w:rPr>
          <w:rFonts w:hint="eastAsia" w:ascii="仿宋_GB2312" w:hAnsi="仿宋"/>
          <w:snapToGrid/>
          <w:kern w:val="2"/>
        </w:rPr>
        <w:t>新建农业灌溉设施应当符合节水灌溉标准；已建成的灌溉设施不符合节水灌溉标准的，应当逐步进行更新改造。</w:t>
      </w:r>
      <w:bookmarkEnd w:id="85"/>
    </w:p>
    <w:bookmarkEnd w:id="84"/>
    <w:p>
      <w:pPr>
        <w:adjustRightInd w:val="0"/>
        <w:spacing w:line="580" w:lineRule="exact"/>
        <w:ind w:firstLine="640" w:firstLineChars="200"/>
        <w:contextualSpacing/>
        <w:textAlignment w:val="baseline"/>
        <w:rPr>
          <w:rFonts w:ascii="仿宋_GB2312" w:hAnsi="仿宋"/>
          <w:shd w:val="pct10" w:color="auto" w:fill="FFFFFF"/>
        </w:rPr>
      </w:pPr>
      <w:bookmarkStart w:id="86" w:name="_Toc60819314"/>
      <w:bookmarkStart w:id="87" w:name="_Toc66175254"/>
      <w:r>
        <w:rPr>
          <w:rFonts w:hint="eastAsia" w:ascii="黑体" w:hAnsi="黑体" w:eastAsia="黑体"/>
          <w:snapToGrid/>
          <w:kern w:val="2"/>
        </w:rPr>
        <w:t>第三十一条</w:t>
      </w:r>
      <w:r>
        <w:rPr>
          <w:rFonts w:hint="eastAsia" w:ascii="仿宋" w:hAnsi="仿宋" w:eastAsia="宋体"/>
          <w:snapToGrid/>
          <w:kern w:val="2"/>
        </w:rPr>
        <w:t xml:space="preserve">  </w:t>
      </w:r>
      <w:r>
        <w:rPr>
          <w:rFonts w:hint="eastAsia" w:ascii="仿宋_GB2312" w:hAnsi="仿宋"/>
          <w:snapToGrid/>
          <w:kern w:val="2"/>
        </w:rPr>
        <w:t>公共供水单位应当采用先进制水技术，加强</w:t>
      </w:r>
      <w:r>
        <w:rPr>
          <w:rFonts w:ascii="仿宋_GB2312" w:hAnsi="仿宋"/>
          <w:snapToGrid/>
          <w:kern w:val="2"/>
        </w:rPr>
        <w:t>对</w:t>
      </w:r>
      <w:r>
        <w:rPr>
          <w:rFonts w:hint="eastAsia" w:ascii="仿宋_GB2312" w:hAnsi="仿宋"/>
          <w:snapToGrid/>
          <w:kern w:val="2"/>
        </w:rPr>
        <w:t>供水</w:t>
      </w:r>
      <w:r>
        <w:rPr>
          <w:rFonts w:ascii="仿宋_GB2312" w:hAnsi="仿宋"/>
          <w:snapToGrid/>
          <w:kern w:val="2"/>
        </w:rPr>
        <w:t>设施的</w:t>
      </w:r>
      <w:r>
        <w:rPr>
          <w:rFonts w:hint="eastAsia" w:ascii="仿宋_GB2312" w:hAnsi="仿宋"/>
          <w:snapToGrid/>
          <w:kern w:val="2"/>
        </w:rPr>
        <w:t>维护、改造，</w:t>
      </w:r>
      <w:r>
        <w:rPr>
          <w:rFonts w:ascii="仿宋_GB2312" w:hAnsi="仿宋"/>
          <w:snapToGrid/>
          <w:kern w:val="2"/>
        </w:rPr>
        <w:t>确保管网漏损率符合国家标准；</w:t>
      </w:r>
      <w:r>
        <w:rPr>
          <w:rFonts w:hint="eastAsia" w:ascii="仿宋_GB2312" w:hAnsi="仿宋"/>
          <w:snapToGrid/>
          <w:kern w:val="2"/>
        </w:rPr>
        <w:t>超过国家标准的部分不得计入供水定价成本。</w:t>
      </w:r>
      <w:bookmarkEnd w:id="86"/>
      <w:bookmarkEnd w:id="87"/>
      <w:bookmarkStart w:id="88" w:name="_Toc66175255"/>
      <w:bookmarkStart w:id="89" w:name="_Toc60819315"/>
    </w:p>
    <w:p>
      <w:pPr>
        <w:adjustRightInd w:val="0"/>
        <w:spacing w:line="580" w:lineRule="exact"/>
        <w:ind w:firstLine="640" w:firstLineChars="200"/>
        <w:contextualSpacing/>
        <w:textAlignment w:val="baseline"/>
        <w:rPr>
          <w:rFonts w:ascii="仿宋_GB2312" w:hAnsi="仿宋"/>
        </w:rPr>
      </w:pPr>
      <w:r>
        <w:rPr>
          <w:rFonts w:hint="eastAsia" w:ascii="黑体" w:hAnsi="黑体" w:eastAsia="黑体"/>
          <w:snapToGrid/>
          <w:kern w:val="2"/>
        </w:rPr>
        <w:t xml:space="preserve">第三十二条  </w:t>
      </w:r>
      <w:r>
        <w:rPr>
          <w:rFonts w:hint="eastAsia" w:ascii="仿宋_GB2312" w:hAnsi="仿宋"/>
          <w:snapToGrid/>
          <w:kern w:val="2"/>
        </w:rPr>
        <w:t>工业和民用建筑应当采取水循环使用、梯级利用、分质利用等措施，优先采用国家和省鼓励使用的节水产品和设备。</w:t>
      </w:r>
      <w:bookmarkEnd w:id="88"/>
    </w:p>
    <w:p>
      <w:pPr>
        <w:spacing w:line="580" w:lineRule="exact"/>
        <w:ind w:firstLine="640" w:firstLineChars="200"/>
        <w:textAlignment w:val="baseline"/>
        <w:rPr>
          <w:rFonts w:ascii="仿宋_GB2312" w:hAnsi="仿宋"/>
        </w:rPr>
      </w:pPr>
      <w:r>
        <w:rPr>
          <w:rFonts w:ascii="仿宋_GB2312" w:hAnsi="仿宋"/>
          <w:snapToGrid/>
          <w:kern w:val="2"/>
        </w:rPr>
        <w:t>经营洗车</w:t>
      </w:r>
      <w:r>
        <w:rPr>
          <w:rFonts w:hint="eastAsia" w:ascii="仿宋_GB2312" w:hAnsi="仿宋"/>
          <w:snapToGrid/>
          <w:kern w:val="2"/>
        </w:rPr>
        <w:t>、</w:t>
      </w:r>
      <w:r>
        <w:rPr>
          <w:rFonts w:ascii="仿宋_GB2312" w:hAnsi="仿宋"/>
          <w:snapToGrid/>
          <w:kern w:val="2"/>
        </w:rPr>
        <w:t>洗浴、游泳、</w:t>
      </w:r>
      <w:r>
        <w:rPr>
          <w:rFonts w:hint="eastAsia" w:ascii="仿宋_GB2312" w:hAnsi="仿宋"/>
          <w:snapToGrid/>
          <w:kern w:val="2"/>
        </w:rPr>
        <w:t>高尔夫球场、人工滑雪场和宾馆等服务业</w:t>
      </w:r>
      <w:r>
        <w:rPr>
          <w:rFonts w:ascii="仿宋_GB2312" w:hAnsi="仿宋"/>
          <w:snapToGrid/>
          <w:kern w:val="2"/>
        </w:rPr>
        <w:t>用水单位，</w:t>
      </w:r>
      <w:r>
        <w:rPr>
          <w:rFonts w:hint="eastAsia" w:ascii="仿宋_GB2312" w:hAnsi="仿宋"/>
          <w:snapToGrid/>
          <w:kern w:val="2"/>
        </w:rPr>
        <w:t>应当严格执行用水定额，</w:t>
      </w:r>
      <w:r>
        <w:rPr>
          <w:rFonts w:ascii="仿宋_GB2312" w:hAnsi="仿宋"/>
          <w:snapToGrid/>
          <w:kern w:val="2"/>
        </w:rPr>
        <w:t>采用低耗水和循环用水等节水技术、设备和措施。</w:t>
      </w:r>
    </w:p>
    <w:bookmarkEnd w:id="89"/>
    <w:p>
      <w:pPr>
        <w:adjustRightInd w:val="0"/>
        <w:spacing w:line="580" w:lineRule="exact"/>
        <w:ind w:firstLine="640" w:firstLineChars="200"/>
        <w:contextualSpacing/>
        <w:textAlignment w:val="baseline"/>
        <w:rPr>
          <w:rFonts w:ascii="仿宋_GB2312" w:hAnsi="仿宋"/>
        </w:rPr>
      </w:pPr>
      <w:bookmarkStart w:id="90" w:name="_Toc60819316"/>
      <w:r>
        <w:rPr>
          <w:rFonts w:hint="eastAsia" w:ascii="黑体" w:hAnsi="黑体" w:eastAsia="黑体"/>
          <w:snapToGrid/>
          <w:kern w:val="2"/>
        </w:rPr>
        <w:t>第三十三条</w:t>
      </w:r>
      <w:r>
        <w:rPr>
          <w:rFonts w:hint="eastAsia" w:ascii="仿宋" w:hAnsi="仿宋" w:eastAsia="宋体"/>
          <w:snapToGrid/>
          <w:kern w:val="2"/>
        </w:rPr>
        <w:t xml:space="preserve">  </w:t>
      </w:r>
      <w:r>
        <w:rPr>
          <w:rFonts w:hint="eastAsia" w:ascii="仿宋_GB2312" w:hAnsi="仿宋"/>
          <w:snapToGrid/>
          <w:kern w:val="2"/>
        </w:rPr>
        <w:t>城市园林绿化应当坚持因地制宜的原则，优先选择耐旱、适应性强的树种，推广使用喷灌、微灌等先进节水灌溉方式。</w:t>
      </w:r>
    </w:p>
    <w:bookmarkEnd w:id="90"/>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园林绿化、环境卫生、消防等公共给水设施产权人，应当加强公共给水设施的日常管理和维护，防止跑水、漏水。</w:t>
      </w:r>
    </w:p>
    <w:p>
      <w:pPr>
        <w:adjustRightInd w:val="0"/>
        <w:spacing w:line="580" w:lineRule="exact"/>
        <w:ind w:firstLine="640" w:firstLineChars="200"/>
        <w:contextualSpacing/>
        <w:textAlignment w:val="baseline"/>
        <w:rPr>
          <w:rFonts w:ascii="仿宋_GB2312" w:hAnsi="仿宋"/>
        </w:rPr>
      </w:pPr>
      <w:bookmarkStart w:id="91" w:name="_Toc66175258"/>
      <w:bookmarkStart w:id="92" w:name="_Toc60819319"/>
      <w:r>
        <w:rPr>
          <w:rFonts w:hint="eastAsia" w:ascii="黑体" w:hAnsi="黑体" w:eastAsia="黑体"/>
          <w:snapToGrid/>
          <w:kern w:val="2"/>
        </w:rPr>
        <w:t xml:space="preserve">第三十四条  </w:t>
      </w:r>
      <w:r>
        <w:rPr>
          <w:rFonts w:hint="eastAsia" w:ascii="仿宋_GB2312" w:hAnsi="仿宋"/>
          <w:snapToGrid/>
          <w:kern w:val="2"/>
        </w:rPr>
        <w:t>县级以上人民政府应当统筹规划建设再生水输配管网和再生水利用设施。</w:t>
      </w:r>
      <w:bookmarkEnd w:id="91"/>
      <w:r>
        <w:rPr>
          <w:rFonts w:hint="eastAsia" w:ascii="仿宋_GB2312" w:hAnsi="仿宋"/>
          <w:snapToGrid/>
          <w:kern w:val="2"/>
        </w:rPr>
        <w:t>新建、改建、扩建污水处理厂，应当采用先进的污水处理技术、工艺，提高水质标准。</w:t>
      </w:r>
    </w:p>
    <w:bookmarkEnd w:id="92"/>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再生水输配管网覆盖区域内或者有条件使用再生水的工业企业、园林绿化、环境卫生、生态景观、建筑施工、农田灌溉等，应当按照国家和省规定优先使用再生水。</w:t>
      </w:r>
    </w:p>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宾馆、饭店、商场等综合性设施、国家机关、企业事业单位以及住宅小区，符合国家和省规定条件的，应当配套建设再生水利用设施。</w:t>
      </w:r>
    </w:p>
    <w:p>
      <w:pPr>
        <w:adjustRightInd w:val="0"/>
        <w:spacing w:line="580" w:lineRule="exact"/>
        <w:ind w:firstLine="640" w:firstLineChars="200"/>
        <w:contextualSpacing/>
        <w:textAlignment w:val="baseline"/>
        <w:rPr>
          <w:rFonts w:ascii="仿宋_GB2312" w:hAnsi="仿宋"/>
        </w:rPr>
      </w:pPr>
      <w:bookmarkStart w:id="93" w:name="_Toc66175259"/>
      <w:bookmarkStart w:id="94" w:name="_Toc60819320"/>
      <w:r>
        <w:rPr>
          <w:rFonts w:hint="eastAsia" w:ascii="黑体" w:hAnsi="黑体" w:eastAsia="黑体"/>
          <w:snapToGrid/>
          <w:kern w:val="2"/>
        </w:rPr>
        <w:t xml:space="preserve">第三十五条  </w:t>
      </w:r>
      <w:r>
        <w:rPr>
          <w:rFonts w:hint="eastAsia" w:ascii="仿宋_GB2312" w:hAnsi="仿宋"/>
          <w:snapToGrid/>
          <w:kern w:val="2"/>
        </w:rPr>
        <w:t>县级以上人民政府应当结合推进海绵城市建设，同步规划建设雨水滞渗、净化、利用、调蓄和污水处理回用设施，采取雨污分流、渗透路面、地表水径流控制和雨水综合利用等措施，提高雨水和污水资源化利用水平。</w:t>
      </w:r>
      <w:bookmarkEnd w:id="93"/>
    </w:p>
    <w:bookmarkEnd w:id="94"/>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单位、住宅小区等应当按照有关规定因地制宜开展雨水集蓄利用。</w:t>
      </w:r>
    </w:p>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鼓励农村集体经济组织、新型农业经营主体和个人建设集雨水窖、水池、塘坝等蓄水工程。</w:t>
      </w:r>
    </w:p>
    <w:p>
      <w:pPr>
        <w:adjustRightInd w:val="0"/>
        <w:spacing w:line="580" w:lineRule="exact"/>
        <w:ind w:firstLine="640" w:firstLineChars="200"/>
        <w:contextualSpacing/>
        <w:textAlignment w:val="baseline"/>
        <w:rPr>
          <w:rFonts w:ascii="仿宋_GB2312" w:hAnsi="仿宋"/>
        </w:rPr>
      </w:pPr>
      <w:bookmarkStart w:id="95" w:name="_Toc66175260"/>
      <w:bookmarkStart w:id="96" w:name="_Toc60819321"/>
      <w:r>
        <w:rPr>
          <w:rFonts w:hint="eastAsia" w:ascii="黑体" w:hAnsi="黑体" w:eastAsia="黑体"/>
          <w:snapToGrid/>
          <w:kern w:val="2"/>
        </w:rPr>
        <w:t xml:space="preserve">第三十六条  </w:t>
      </w:r>
      <w:r>
        <w:rPr>
          <w:rFonts w:hint="eastAsia" w:ascii="仿宋_GB2312" w:hAnsi="仿宋"/>
          <w:snapToGrid/>
          <w:kern w:val="2"/>
        </w:rPr>
        <w:t>沿海县级以上人民政府应当根据当地水资源状况，科学制定海水综合利用计划，推广应用海水淡化技术和装备，发展海水淡化与综合利用产业。</w:t>
      </w:r>
      <w:bookmarkEnd w:id="95"/>
    </w:p>
    <w:p>
      <w:pPr>
        <w:adjustRightInd w:val="0"/>
        <w:spacing w:line="580" w:lineRule="exact"/>
        <w:ind w:firstLine="640" w:firstLineChars="200"/>
        <w:contextualSpacing/>
        <w:textAlignment w:val="baseline"/>
        <w:rPr>
          <w:rFonts w:ascii="仿宋_GB2312" w:hAnsi="仿宋"/>
        </w:rPr>
      </w:pPr>
      <w:bookmarkStart w:id="97" w:name="_Toc66175261"/>
      <w:r>
        <w:rPr>
          <w:rFonts w:hint="eastAsia" w:ascii="仿宋_GB2312" w:hAnsi="仿宋"/>
          <w:snapToGrid/>
          <w:kern w:val="2"/>
        </w:rPr>
        <w:t>鼓励工业企业优先使用海水或者淡化海水。</w:t>
      </w:r>
      <w:bookmarkEnd w:id="97"/>
    </w:p>
    <w:bookmarkEnd w:id="96"/>
    <w:p>
      <w:pPr>
        <w:adjustRightInd w:val="0"/>
        <w:spacing w:line="580" w:lineRule="exact"/>
        <w:ind w:firstLine="640" w:firstLineChars="200"/>
        <w:contextualSpacing/>
        <w:textAlignment w:val="baseline"/>
        <w:rPr>
          <w:rFonts w:ascii="仿宋_GB2312" w:hAnsi="仿宋"/>
        </w:rPr>
      </w:pPr>
      <w:bookmarkStart w:id="98" w:name="_Toc66175262"/>
      <w:bookmarkStart w:id="99" w:name="_Toc60819322"/>
      <w:r>
        <w:rPr>
          <w:rFonts w:hint="eastAsia" w:ascii="黑体" w:hAnsi="黑体" w:eastAsia="黑体"/>
          <w:snapToGrid/>
          <w:kern w:val="2"/>
        </w:rPr>
        <w:t xml:space="preserve">第三十七条  </w:t>
      </w:r>
      <w:r>
        <w:rPr>
          <w:rFonts w:hint="eastAsia" w:ascii="仿宋_GB2312" w:hAnsi="仿宋"/>
          <w:snapToGrid/>
          <w:kern w:val="2"/>
        </w:rPr>
        <w:t>鼓励微咸水丰富地区合理开发利用微咸水，发展适宜农作物或者产业。</w:t>
      </w:r>
      <w:bookmarkEnd w:id="98"/>
    </w:p>
    <w:bookmarkEnd w:id="99"/>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矿山企业和建筑施工企业应当采取措施，加大疏干排水的回收利用，减少直接外排。</w:t>
      </w:r>
    </w:p>
    <w:p>
      <w:pPr>
        <w:adjustRightInd w:val="0"/>
        <w:spacing w:line="580" w:lineRule="exact"/>
        <w:ind w:firstLine="640" w:firstLineChars="200"/>
        <w:contextualSpacing/>
        <w:rPr>
          <w:rFonts w:ascii="仿宋_GB2312" w:hAnsi="仿宋"/>
        </w:rPr>
      </w:pPr>
    </w:p>
    <w:p>
      <w:pPr>
        <w:spacing w:line="580" w:lineRule="exact"/>
        <w:jc w:val="center"/>
        <w:textAlignment w:val="baseline"/>
        <w:rPr>
          <w:rFonts w:ascii="黑体" w:hAnsi="黑体" w:eastAsia="黑体"/>
        </w:rPr>
      </w:pPr>
      <w:bookmarkStart w:id="100" w:name="_Toc70109435"/>
      <w:bookmarkStart w:id="101" w:name="_Toc66175263"/>
      <w:bookmarkStart w:id="102" w:name="_Toc65677307"/>
      <w:r>
        <w:rPr>
          <w:rFonts w:hint="eastAsia" w:ascii="黑体" w:hAnsi="黑体" w:eastAsia="黑体"/>
          <w:snapToGrid/>
          <w:kern w:val="2"/>
        </w:rPr>
        <w:t>第五章  保障措施</w:t>
      </w:r>
      <w:bookmarkEnd w:id="100"/>
      <w:bookmarkEnd w:id="101"/>
      <w:bookmarkEnd w:id="102"/>
    </w:p>
    <w:p>
      <w:pPr>
        <w:adjustRightInd w:val="0"/>
        <w:spacing w:line="580" w:lineRule="exact"/>
        <w:ind w:firstLine="640" w:firstLineChars="200"/>
        <w:contextualSpacing/>
        <w:rPr>
          <w:rFonts w:ascii="黑体" w:hAnsi="黑体" w:eastAsia="黑体"/>
        </w:rPr>
      </w:pPr>
      <w:bookmarkStart w:id="103" w:name="_Toc66175264"/>
      <w:bookmarkStart w:id="104" w:name="_Toc60819325"/>
    </w:p>
    <w:p>
      <w:pPr>
        <w:adjustRightInd w:val="0"/>
        <w:spacing w:line="580" w:lineRule="exact"/>
        <w:ind w:firstLine="640" w:firstLineChars="200"/>
        <w:contextualSpacing/>
        <w:textAlignment w:val="baseline"/>
        <w:rPr>
          <w:rFonts w:ascii="仿宋_GB2312" w:hAnsi="仿宋"/>
        </w:rPr>
      </w:pPr>
      <w:r>
        <w:rPr>
          <w:rFonts w:hint="eastAsia" w:ascii="黑体" w:hAnsi="黑体" w:eastAsia="黑体"/>
          <w:snapToGrid/>
          <w:kern w:val="2"/>
        </w:rPr>
        <w:t xml:space="preserve">第三十八条  </w:t>
      </w:r>
      <w:r>
        <w:rPr>
          <w:rFonts w:hint="eastAsia" w:ascii="仿宋_GB2312" w:hAnsi="仿宋"/>
          <w:snapToGrid/>
          <w:kern w:val="2"/>
        </w:rPr>
        <w:t>县级以上人民政府应当建立健全节约用水投入机制，完善政府、企业、社会多元化投资渠道，引导、鼓励社会资本投入节水产业。</w:t>
      </w:r>
    </w:p>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县级以上人民政府应当加大节约用水的财政投入，主要用于节水新技术和新产品的研究、开发、推广以及节水重点项目建设。</w:t>
      </w:r>
      <w:bookmarkEnd w:id="103"/>
    </w:p>
    <w:bookmarkEnd w:id="104"/>
    <w:p>
      <w:pPr>
        <w:shd w:val="clear" w:color="auto" w:fill="FFFFFF"/>
        <w:spacing w:line="580" w:lineRule="exact"/>
        <w:ind w:firstLine="640" w:firstLineChars="200"/>
        <w:rPr>
          <w:rFonts w:ascii="仿宋_GB2312" w:hAnsi="仿宋" w:cs="宋体"/>
        </w:rPr>
      </w:pPr>
      <w:bookmarkStart w:id="105" w:name="_Toc60819326"/>
      <w:r>
        <w:rPr>
          <w:rFonts w:hint="eastAsia" w:ascii="黑体" w:hAnsi="黑体" w:eastAsia="黑体" w:cs="宋体"/>
        </w:rPr>
        <w:t xml:space="preserve">第三十九条  </w:t>
      </w:r>
      <w:r>
        <w:rPr>
          <w:rFonts w:hint="eastAsia" w:ascii="仿宋_GB2312" w:hAnsi="仿宋" w:cs="宋体"/>
        </w:rPr>
        <w:t>县级以上人民政府应当按照国家和省有关规定推进农业水价综合改革，健全与节水成效、农业水价水平、财力状况相匹配的农业用水精准补贴制度，完善农业用水节水奖励机制，推动节水型农业发展。</w:t>
      </w:r>
    </w:p>
    <w:bookmarkEnd w:id="105"/>
    <w:p>
      <w:pPr>
        <w:adjustRightInd w:val="0"/>
        <w:spacing w:line="580" w:lineRule="exact"/>
        <w:ind w:firstLine="640" w:firstLineChars="200"/>
        <w:contextualSpacing/>
        <w:textAlignment w:val="baseline"/>
        <w:rPr>
          <w:rFonts w:ascii="仿宋_GB2312" w:hAnsi="仿宋"/>
        </w:rPr>
      </w:pPr>
      <w:bookmarkStart w:id="106" w:name="_Toc66175267"/>
      <w:bookmarkStart w:id="107" w:name="_Toc60819328"/>
      <w:r>
        <w:rPr>
          <w:rFonts w:hint="eastAsia" w:ascii="黑体" w:hAnsi="黑体" w:eastAsia="黑体"/>
          <w:snapToGrid/>
          <w:kern w:val="2"/>
        </w:rPr>
        <w:t xml:space="preserve">第四十条  </w:t>
      </w:r>
      <w:r>
        <w:rPr>
          <w:rFonts w:hint="eastAsia" w:ascii="仿宋_GB2312" w:hAnsi="仿宋"/>
          <w:snapToGrid/>
          <w:kern w:val="2"/>
        </w:rPr>
        <w:t>县级以上人民政府发展改革、工业和信息化、财政、住房城乡建设、农业农村、水利、税务等部门，应当根据有关规定对节水项目给予税费减免和资金扶持。</w:t>
      </w:r>
      <w:bookmarkEnd w:id="106"/>
    </w:p>
    <w:bookmarkEnd w:id="107"/>
    <w:p>
      <w:pPr>
        <w:adjustRightInd w:val="0"/>
        <w:spacing w:line="580" w:lineRule="exact"/>
        <w:ind w:firstLine="640" w:firstLineChars="200"/>
        <w:contextualSpacing/>
        <w:textAlignment w:val="baseline"/>
        <w:rPr>
          <w:rFonts w:ascii="仿宋_GB2312" w:hAnsi="仿宋"/>
        </w:rPr>
      </w:pPr>
      <w:bookmarkStart w:id="108" w:name="_Toc66175268"/>
      <w:bookmarkStart w:id="109" w:name="_Toc60819329"/>
      <w:r>
        <w:rPr>
          <w:rFonts w:hint="eastAsia" w:ascii="仿宋_GB2312" w:hAnsi="仿宋"/>
          <w:snapToGrid/>
          <w:kern w:val="2"/>
        </w:rPr>
        <w:t>鼓励金融机构和地方金融组织开发符合节水项目需求的金融产品和服务项目；对符合条件的节水项目，金融机构和地方金融组织应当按照有关规定给予支持。</w:t>
      </w:r>
      <w:bookmarkEnd w:id="108"/>
    </w:p>
    <w:bookmarkEnd w:id="109"/>
    <w:p>
      <w:pPr>
        <w:adjustRightInd w:val="0"/>
        <w:spacing w:line="580" w:lineRule="exact"/>
        <w:ind w:firstLine="640" w:firstLineChars="200"/>
        <w:contextualSpacing/>
        <w:textAlignment w:val="baseline"/>
        <w:rPr>
          <w:rFonts w:ascii="仿宋_GB2312" w:hAnsi="仿宋"/>
        </w:rPr>
      </w:pPr>
      <w:bookmarkStart w:id="110" w:name="_Toc66175269"/>
      <w:bookmarkStart w:id="111" w:name="_Toc60819330"/>
      <w:r>
        <w:rPr>
          <w:rFonts w:hint="eastAsia" w:ascii="黑体" w:hAnsi="黑体" w:eastAsia="黑体"/>
          <w:snapToGrid/>
          <w:kern w:val="2"/>
        </w:rPr>
        <w:t xml:space="preserve">第四十一条  </w:t>
      </w:r>
      <w:r>
        <w:rPr>
          <w:rFonts w:hint="eastAsia" w:ascii="仿宋_GB2312" w:hAnsi="仿宋"/>
          <w:snapToGrid/>
          <w:kern w:val="2"/>
        </w:rPr>
        <w:t>鼓励节水服务机构与用水单位签订节水管理合同，提供节水诊断、融资、改造等服务，并按照国家和省有关规定享受资金支持、税费优惠等扶持政策。</w:t>
      </w:r>
      <w:bookmarkEnd w:id="110"/>
    </w:p>
    <w:p>
      <w:pPr>
        <w:adjustRightInd w:val="0"/>
        <w:spacing w:line="580" w:lineRule="exact"/>
        <w:ind w:firstLine="640" w:firstLineChars="200"/>
        <w:contextualSpacing/>
        <w:textAlignment w:val="baseline"/>
        <w:rPr>
          <w:rFonts w:ascii="仿宋_GB2312" w:hAnsi="仿宋"/>
        </w:rPr>
      </w:pPr>
      <w:bookmarkStart w:id="112" w:name="_Toc66175270"/>
      <w:r>
        <w:rPr>
          <w:rFonts w:hint="eastAsia" w:ascii="黑体" w:hAnsi="黑体" w:eastAsia="黑体"/>
          <w:snapToGrid/>
          <w:kern w:val="2"/>
        </w:rPr>
        <w:t xml:space="preserve">第四十二条  </w:t>
      </w:r>
      <w:r>
        <w:rPr>
          <w:rFonts w:hint="eastAsia" w:ascii="仿宋_GB2312" w:hAnsi="仿宋"/>
          <w:snapToGrid/>
          <w:kern w:val="2"/>
        </w:rPr>
        <w:t>县级以上人民政府应当组织开展县域节水型社会和节水型城市、企业、校园等建设，在用水产品、用水企业、灌区和公共机构中培育水效领跑者。</w:t>
      </w:r>
      <w:bookmarkEnd w:id="112"/>
    </w:p>
    <w:bookmarkEnd w:id="111"/>
    <w:p>
      <w:pPr>
        <w:adjustRightInd w:val="0"/>
        <w:spacing w:line="580" w:lineRule="exact"/>
        <w:ind w:firstLine="640" w:firstLineChars="200"/>
        <w:contextualSpacing/>
        <w:textAlignment w:val="baseline"/>
        <w:rPr>
          <w:rFonts w:ascii="仿宋_GB2312" w:hAnsi="仿宋"/>
        </w:rPr>
      </w:pPr>
      <w:bookmarkStart w:id="113" w:name="_Toc66175271"/>
      <w:bookmarkStart w:id="114" w:name="_Toc60819331"/>
      <w:r>
        <w:rPr>
          <w:rFonts w:hint="eastAsia" w:ascii="黑体" w:hAnsi="黑体" w:eastAsia="黑体"/>
          <w:snapToGrid/>
          <w:kern w:val="2"/>
        </w:rPr>
        <w:t xml:space="preserve">第四十三条  </w:t>
      </w:r>
      <w:r>
        <w:rPr>
          <w:rFonts w:hint="eastAsia" w:ascii="仿宋_GB2312" w:hAnsi="仿宋"/>
          <w:snapToGrid/>
          <w:kern w:val="2"/>
        </w:rPr>
        <w:t>对下列单位和个人，由县级以上人民政府给予财政补助或者资金扶持：</w:t>
      </w:r>
      <w:bookmarkEnd w:id="113"/>
    </w:p>
    <w:bookmarkEnd w:id="114"/>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（一）水效领跑者或者在节约用水、减少水资源消耗方面取得显著成效的；</w:t>
      </w:r>
    </w:p>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（二）在非常规水开发利用工作中做出显著成绩的；</w:t>
      </w:r>
    </w:p>
    <w:p>
      <w:pPr>
        <w:adjustRightInd w:val="0"/>
        <w:spacing w:line="580" w:lineRule="exact"/>
        <w:ind w:firstLine="640" w:firstLineChars="200"/>
        <w:contextualSpacing/>
        <w:textAlignment w:val="baseline"/>
        <w:rPr>
          <w:rFonts w:ascii="仿宋_GB2312" w:hAnsi="仿宋"/>
        </w:rPr>
      </w:pPr>
      <w:r>
        <w:rPr>
          <w:rFonts w:hint="eastAsia" w:ascii="仿宋_GB2312" w:hAnsi="仿宋"/>
          <w:snapToGrid/>
          <w:kern w:val="2"/>
        </w:rPr>
        <w:t>（三）研究推广节水技术、工艺、设备、产品等方面有突出贡献的。</w:t>
      </w:r>
    </w:p>
    <w:p>
      <w:pPr>
        <w:adjustRightInd w:val="0"/>
        <w:spacing w:line="580" w:lineRule="exact"/>
        <w:ind w:firstLine="640" w:firstLineChars="200"/>
        <w:contextualSpacing/>
        <w:textAlignment w:val="baseline"/>
        <w:rPr>
          <w:rFonts w:ascii="仿宋_GB2312" w:hAnsi="仿宋"/>
        </w:rPr>
      </w:pPr>
      <w:bookmarkStart w:id="115" w:name="_Toc66175272"/>
      <w:bookmarkStart w:id="116" w:name="_Toc60819332"/>
      <w:r>
        <w:rPr>
          <w:rFonts w:hint="eastAsia" w:ascii="黑体" w:hAnsi="黑体" w:eastAsia="黑体"/>
          <w:snapToGrid/>
          <w:kern w:val="2"/>
        </w:rPr>
        <w:t xml:space="preserve">第四十四条  </w:t>
      </w:r>
      <w:r>
        <w:rPr>
          <w:rFonts w:hint="eastAsia" w:ascii="仿宋_GB2312" w:hAnsi="仿宋"/>
          <w:snapToGrid/>
          <w:kern w:val="2"/>
        </w:rPr>
        <w:t>县级以上人民政府水行政主管部门和其他有关部门应当按照各自职责，对供水、用水单位节约用水情况进行监督检查，依法查处违法行为。</w:t>
      </w:r>
      <w:bookmarkEnd w:id="115"/>
    </w:p>
    <w:p>
      <w:pPr>
        <w:adjustRightInd w:val="0"/>
        <w:spacing w:line="580" w:lineRule="exact"/>
        <w:ind w:firstLine="640" w:firstLineChars="200"/>
        <w:contextualSpacing/>
        <w:rPr>
          <w:rFonts w:ascii="仿宋"/>
        </w:rPr>
      </w:pPr>
    </w:p>
    <w:bookmarkEnd w:id="116"/>
    <w:p>
      <w:pPr>
        <w:spacing w:line="580" w:lineRule="exact"/>
        <w:jc w:val="center"/>
        <w:textAlignment w:val="baseline"/>
        <w:rPr>
          <w:rFonts w:ascii="黑体" w:hAnsi="黑体" w:eastAsia="黑体"/>
        </w:rPr>
      </w:pPr>
      <w:bookmarkStart w:id="117" w:name="_Toc66175274"/>
      <w:bookmarkStart w:id="118" w:name="_Toc65677308"/>
      <w:bookmarkStart w:id="119" w:name="_Toc70109436"/>
      <w:r>
        <w:rPr>
          <w:rFonts w:hint="eastAsia" w:ascii="黑体" w:hAnsi="黑体" w:eastAsia="黑体"/>
          <w:snapToGrid/>
          <w:kern w:val="2"/>
        </w:rPr>
        <w:t>第六章  法律责任</w:t>
      </w:r>
      <w:bookmarkEnd w:id="117"/>
      <w:bookmarkEnd w:id="118"/>
      <w:bookmarkEnd w:id="119"/>
    </w:p>
    <w:p>
      <w:pPr>
        <w:adjustRightInd w:val="0"/>
        <w:spacing w:line="580" w:lineRule="exact"/>
        <w:ind w:firstLine="640" w:firstLineChars="200"/>
        <w:contextualSpacing/>
        <w:rPr>
          <w:rFonts w:ascii="黑体" w:hAnsi="黑体" w:eastAsia="黑体"/>
        </w:rPr>
      </w:pPr>
    </w:p>
    <w:p>
      <w:pPr>
        <w:adjustRightInd w:val="0"/>
        <w:spacing w:line="580" w:lineRule="exact"/>
        <w:ind w:firstLine="640" w:firstLineChars="200"/>
        <w:contextualSpacing/>
        <w:textAlignment w:val="baseline"/>
        <w:rPr>
          <w:rFonts w:ascii="仿宋_GB2312" w:hAnsi="仿宋"/>
        </w:rPr>
      </w:pPr>
      <w:bookmarkStart w:id="120" w:name="_Toc66175276"/>
      <w:bookmarkStart w:id="121" w:name="_Toc66175282"/>
      <w:bookmarkStart w:id="122" w:name="_Toc60819335"/>
      <w:r>
        <w:rPr>
          <w:rFonts w:hint="eastAsia" w:ascii="黑体" w:hAnsi="黑体" w:eastAsia="黑体"/>
          <w:snapToGrid/>
          <w:kern w:val="2"/>
        </w:rPr>
        <w:t xml:space="preserve">第四十五条  </w:t>
      </w:r>
      <w:r>
        <w:rPr>
          <w:rFonts w:hint="eastAsia" w:ascii="仿宋_GB2312" w:hAnsi="仿宋"/>
          <w:snapToGrid/>
          <w:kern w:val="2"/>
        </w:rPr>
        <w:t>违反本条例规定的行为，法律、行政法规已经规定法律责任的，适用其规定。</w:t>
      </w:r>
    </w:p>
    <w:p>
      <w:pPr>
        <w:adjustRightInd w:val="0"/>
        <w:spacing w:line="580" w:lineRule="exact"/>
        <w:ind w:firstLine="640" w:firstLineChars="200"/>
        <w:contextualSpacing/>
        <w:textAlignment w:val="baseline"/>
        <w:rPr>
          <w:rFonts w:ascii="仿宋_GB2312" w:hAnsi="仿宋"/>
        </w:rPr>
      </w:pPr>
      <w:r>
        <w:rPr>
          <w:rFonts w:hint="eastAsia" w:ascii="黑体" w:hAnsi="黑体" w:eastAsia="黑体"/>
          <w:snapToGrid/>
          <w:kern w:val="2"/>
        </w:rPr>
        <w:t xml:space="preserve">第四十六条  </w:t>
      </w:r>
      <w:r>
        <w:rPr>
          <w:rFonts w:hint="eastAsia" w:ascii="仿宋_GB2312" w:hAnsi="仿宋"/>
          <w:snapToGrid/>
          <w:kern w:val="2"/>
        </w:rPr>
        <w:t>违反本条例规定，伪造或者冒用节水产品认证标志的，由县级以上人民政府市场监督管理部门责令改正，没收违法生产、销售的产品，并处违法生产、销售产品货值金额等值以下的罚款；有违法所得的，并处没收违法所得；情节严重的，吊销营业执照。</w:t>
      </w:r>
      <w:bookmarkEnd w:id="120"/>
    </w:p>
    <w:p>
      <w:pPr>
        <w:adjustRightInd w:val="0"/>
        <w:spacing w:line="580" w:lineRule="exact"/>
        <w:ind w:firstLine="640" w:firstLineChars="200"/>
        <w:contextualSpacing/>
        <w:textAlignment w:val="baseline"/>
        <w:rPr>
          <w:rFonts w:ascii="楷体_GB2312" w:hAnsi="楷体_GB2312" w:eastAsia="楷体_GB2312" w:cs="楷体_GB2312"/>
          <w:b/>
          <w:bCs/>
        </w:rPr>
      </w:pPr>
      <w:r>
        <w:rPr>
          <w:rFonts w:hint="eastAsia" w:ascii="黑体" w:hAnsi="黑体" w:eastAsia="黑体"/>
          <w:snapToGrid/>
          <w:kern w:val="2"/>
        </w:rPr>
        <w:t xml:space="preserve">第四十七条  </w:t>
      </w:r>
      <w:r>
        <w:rPr>
          <w:rFonts w:hint="eastAsia" w:ascii="仿宋_GB2312" w:hAnsi="仿宋"/>
          <w:snapToGrid/>
          <w:kern w:val="2"/>
        </w:rPr>
        <w:t>违反本条例规定，工业间接冷却水、冷凝水未按照规定循环使用或者回收利用的，由县级以上人民政府水行政主管部门或者其他有关部门按照职权给予警告，责令限期改正；逾期未改正的，处十万元以上五</w:t>
      </w:r>
      <w:r>
        <w:rPr>
          <w:rFonts w:ascii="仿宋_GB2312" w:hAnsi="仿宋"/>
          <w:snapToGrid/>
          <w:kern w:val="2"/>
        </w:rPr>
        <w:t>十</w:t>
      </w:r>
      <w:r>
        <w:rPr>
          <w:rFonts w:hint="eastAsia" w:ascii="仿宋_GB2312" w:hAnsi="仿宋"/>
          <w:snapToGrid/>
          <w:kern w:val="2"/>
        </w:rPr>
        <w:t>万元以下的罚款。</w:t>
      </w:r>
    </w:p>
    <w:p>
      <w:pPr>
        <w:adjustRightInd w:val="0"/>
        <w:spacing w:line="580" w:lineRule="exact"/>
        <w:ind w:firstLine="640" w:firstLineChars="200"/>
        <w:contextualSpacing/>
        <w:textAlignment w:val="baseline"/>
        <w:rPr>
          <w:rFonts w:ascii="仿宋_GB2312" w:hAnsi="仿宋"/>
        </w:rPr>
      </w:pPr>
      <w:r>
        <w:rPr>
          <w:rFonts w:hint="eastAsia" w:ascii="黑体" w:hAnsi="黑体" w:eastAsia="黑体"/>
          <w:snapToGrid/>
          <w:kern w:val="2"/>
        </w:rPr>
        <w:t xml:space="preserve">第四十八条  </w:t>
      </w:r>
      <w:r>
        <w:rPr>
          <w:rFonts w:hint="eastAsia" w:ascii="仿宋_GB2312" w:hAnsi="仿宋"/>
          <w:snapToGrid/>
          <w:kern w:val="2"/>
        </w:rPr>
        <w:t>违反本条例规定，以水为主要原料的饮用水生产企业以及现场制售饮用水的经营者，产水率低于国家和省规定标准的，由县级以上人民政府水行政主管部门或者其他有关部门按照职权给予警告，责令限期改正；逾期未改正的，处一万元以上十万元以下的罚款。</w:t>
      </w:r>
    </w:p>
    <w:p>
      <w:pPr>
        <w:adjustRightInd w:val="0"/>
        <w:spacing w:line="580" w:lineRule="exact"/>
        <w:ind w:firstLine="640" w:firstLineChars="200"/>
        <w:contextualSpacing/>
        <w:textAlignment w:val="baseline"/>
        <w:rPr>
          <w:rFonts w:ascii="仿宋_GB2312" w:hAnsi="仿宋"/>
        </w:rPr>
      </w:pPr>
      <w:r>
        <w:rPr>
          <w:rFonts w:hint="eastAsia" w:ascii="黑体" w:hAnsi="黑体" w:eastAsia="黑体"/>
          <w:snapToGrid/>
          <w:kern w:val="2"/>
        </w:rPr>
        <w:t xml:space="preserve">第四十九条  </w:t>
      </w:r>
      <w:r>
        <w:rPr>
          <w:rFonts w:hint="eastAsia" w:ascii="仿宋_GB2312" w:hAnsi="仿宋"/>
          <w:snapToGrid/>
          <w:kern w:val="2"/>
        </w:rPr>
        <w:t>县级以上人民政府有关部门及其工作人员在节约用水工作中，滥用职权、玩忽职守、徇私舞弊的，对直接负责的主管人员和其他直接责任人员依法给予处分；构成犯罪的，依法追究刑事责任。</w:t>
      </w:r>
      <w:bookmarkEnd w:id="121"/>
    </w:p>
    <w:p>
      <w:pPr>
        <w:adjustRightInd w:val="0"/>
        <w:spacing w:line="580" w:lineRule="exact"/>
        <w:ind w:firstLine="640" w:firstLineChars="200"/>
        <w:contextualSpacing/>
        <w:rPr>
          <w:rFonts w:ascii="仿宋_GB2312" w:hAnsi="仿宋"/>
        </w:rPr>
      </w:pPr>
    </w:p>
    <w:bookmarkEnd w:id="122"/>
    <w:p>
      <w:pPr>
        <w:spacing w:line="580" w:lineRule="exact"/>
        <w:jc w:val="center"/>
        <w:textAlignment w:val="baseline"/>
        <w:rPr>
          <w:rFonts w:ascii="黑体" w:hAnsi="黑体" w:eastAsia="黑体"/>
        </w:rPr>
      </w:pPr>
      <w:bookmarkStart w:id="123" w:name="_Toc65677309"/>
      <w:bookmarkStart w:id="124" w:name="_Toc70109437"/>
      <w:bookmarkStart w:id="125" w:name="_Toc66175283"/>
      <w:r>
        <w:rPr>
          <w:rFonts w:hint="eastAsia" w:ascii="黑体" w:hAnsi="黑体" w:eastAsia="黑体"/>
          <w:snapToGrid/>
          <w:kern w:val="2"/>
        </w:rPr>
        <w:t>第七章  附则</w:t>
      </w:r>
      <w:bookmarkEnd w:id="123"/>
      <w:bookmarkEnd w:id="124"/>
      <w:bookmarkEnd w:id="125"/>
    </w:p>
    <w:p>
      <w:pPr>
        <w:adjustRightInd w:val="0"/>
        <w:spacing w:line="580" w:lineRule="exact"/>
        <w:ind w:firstLine="640" w:firstLineChars="200"/>
        <w:contextualSpacing/>
        <w:rPr>
          <w:rFonts w:ascii="黑体" w:hAnsi="黑体" w:eastAsia="黑体"/>
        </w:rPr>
      </w:pPr>
      <w:bookmarkStart w:id="126" w:name="_Toc66175284"/>
    </w:p>
    <w:p>
      <w:pPr>
        <w:adjustRightInd w:val="0"/>
        <w:spacing w:line="580" w:lineRule="exact"/>
        <w:ind w:firstLine="640" w:firstLineChars="200"/>
        <w:contextualSpacing/>
        <w:textAlignment w:val="baseline"/>
        <w:rPr>
          <w:rFonts w:ascii="仿宋_GB2312" w:hAnsi="仿宋" w:cs="仿宋"/>
          <w:bCs/>
        </w:rPr>
      </w:pPr>
      <w:r>
        <w:rPr>
          <w:rFonts w:hint="eastAsia" w:ascii="黑体" w:hAnsi="黑体" w:eastAsia="黑体"/>
          <w:snapToGrid/>
          <w:kern w:val="2"/>
        </w:rPr>
        <w:t xml:space="preserve">第五十条  </w:t>
      </w:r>
      <w:r>
        <w:rPr>
          <w:rFonts w:hint="eastAsia" w:ascii="仿宋_GB2312" w:hAnsi="仿宋"/>
          <w:snapToGrid/>
          <w:kern w:val="2"/>
        </w:rPr>
        <w:t>本条例自</w:t>
      </w:r>
      <w:r>
        <w:rPr>
          <w:rFonts w:ascii="仿宋_GB2312" w:hAnsi="仿宋"/>
          <w:snapToGrid/>
          <w:kern w:val="2"/>
        </w:rPr>
        <w:t>2022</w:t>
      </w:r>
      <w:r>
        <w:rPr>
          <w:rFonts w:hint="eastAsia" w:ascii="仿宋_GB2312" w:hAnsi="仿宋"/>
          <w:snapToGrid/>
          <w:kern w:val="2"/>
        </w:rPr>
        <w:t>年</w:t>
      </w:r>
      <w:r>
        <w:rPr>
          <w:rFonts w:ascii="仿宋_GB2312" w:hAnsi="仿宋"/>
          <w:snapToGrid/>
          <w:kern w:val="2"/>
        </w:rPr>
        <w:t>1</w:t>
      </w:r>
      <w:r>
        <w:rPr>
          <w:rFonts w:hint="eastAsia" w:ascii="仿宋_GB2312" w:hAnsi="仿宋"/>
          <w:snapToGrid/>
          <w:kern w:val="2"/>
        </w:rPr>
        <w:t>月</w:t>
      </w:r>
      <w:r>
        <w:rPr>
          <w:rFonts w:ascii="仿宋_GB2312" w:hAnsi="仿宋"/>
          <w:snapToGrid/>
          <w:kern w:val="2"/>
        </w:rPr>
        <w:t>1</w:t>
      </w:r>
      <w:r>
        <w:rPr>
          <w:rFonts w:hint="eastAsia" w:ascii="仿宋_GB2312" w:hAnsi="仿宋"/>
          <w:snapToGrid/>
          <w:kern w:val="2"/>
        </w:rPr>
        <w:t>日起施行。</w:t>
      </w:r>
      <w:bookmarkEnd w:id="126"/>
    </w:p>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altName w:val="微软雅黑"/>
    <w:panose1 w:val="02000000000000000000"/>
    <w:charset w:val="86"/>
    <w:family w:val="script"/>
    <w:pitch w:val="default"/>
    <w:sig w:usb0="00000001" w:usb1="0800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0G3Y3AgAAbw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QxQHSzMMBESn3p0Qrtvh34&#10;7E1xBk1n+jnxlm9qlLJlPjwwh8FA+Xg64R5LKQ1SmsGipDLuy7/OYzz6BS8lDQYtpxrvihL5XqOP&#10;AAyj4UZjPxr6qO4MJhe9QS2diQsuyNEsnVGf8Z5WMQdcTHNkymkYzbvQDzveIxerVRd0tK4+VP0F&#10;TKFlYat3lsc0USpvV8cAaTvFo0C9KuhU3GAOu54NbyYO+p/7LurxP7H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C9dBt2NwIAAG8EAAAOAAAAAAAAAAEAIAAAAB8BAABkcnMvZTJvRG9jLnht&#10;bFBLBQYAAAAABgAGAFkBAADIBQAAAAA=&#10;">
              <v:fill on="f" focussize="0,0"/>
              <v:stroke on="f" weight="0.5pt"/>
              <v:imagedata o:title=""/>
              <o:lock v:ext="edit" aspectratio="f"/>
              <v:textbox inset="0mm,0mm,0mm,0mm" style="mso-fit-shape-to-text:t;">
                <w:txbxContent>
                  <w:p>
                    <w:pPr>
                      <w:pStyle w:val="8"/>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3DF35B5"/>
    <w:rsid w:val="34F44FC9"/>
    <w:rsid w:val="E3DF35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iPriority="39"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11">
    <w:name w:val="Default Paragraph Font"/>
    <w:semiHidden/>
    <w:qFormat/>
    <w:uiPriority w:val="0"/>
  </w:style>
  <w:style w:type="table" w:default="1" w:styleId="10">
    <w:name w:val="Normal Table"/>
    <w:semiHidden/>
    <w:qFormat/>
    <w:uiPriority w:val="0"/>
    <w:tblPr>
      <w:tblStyle w:val="10"/>
      <w:tblCellMar>
        <w:top w:w="0" w:type="dxa"/>
        <w:left w:w="108" w:type="dxa"/>
        <w:bottom w:w="0" w:type="dxa"/>
        <w:right w:w="108" w:type="dxa"/>
      </w:tblCellMar>
    </w:tblPr>
  </w:style>
  <w:style w:type="paragraph" w:styleId="2">
    <w:name w:val="Body Text First Indent 2"/>
    <w:basedOn w:val="3"/>
    <w:next w:val="5"/>
    <w:qFormat/>
    <w:uiPriority w:val="0"/>
    <w:pPr>
      <w:ind w:firstLine="420" w:firstLineChars="200"/>
    </w:pPr>
  </w:style>
  <w:style w:type="paragraph" w:styleId="3">
    <w:name w:val="Body Text Indent"/>
    <w:basedOn w:val="1"/>
    <w:next w:val="4"/>
    <w:qFormat/>
    <w:uiPriority w:val="99"/>
    <w:pPr>
      <w:spacing w:after="120"/>
      <w:ind w:left="420" w:leftChars="200"/>
    </w:pPr>
  </w:style>
  <w:style w:type="paragraph" w:styleId="4">
    <w:name w:val="Normal Indent"/>
    <w:basedOn w:val="1"/>
    <w:next w:val="1"/>
    <w:qFormat/>
    <w:uiPriority w:val="0"/>
    <w:pPr>
      <w:ind w:firstLine="420"/>
    </w:pPr>
    <w:rPr>
      <w:rFonts w:eastAsia="宋体"/>
      <w:sz w:val="21"/>
      <w:szCs w:val="20"/>
    </w:rPr>
  </w:style>
  <w:style w:type="paragraph" w:customStyle="1" w:styleId="5">
    <w:name w:val="Default"/>
    <w:basedOn w:val="6"/>
    <w:next w:val="7"/>
    <w:qFormat/>
    <w:uiPriority w:val="99"/>
    <w:pPr>
      <w:autoSpaceDE w:val="0"/>
      <w:autoSpaceDN w:val="0"/>
      <w:adjustRightInd w:val="0"/>
    </w:pPr>
    <w:rPr>
      <w:color w:val="000000"/>
      <w:sz w:val="24"/>
      <w:szCs w:val="24"/>
    </w:rPr>
  </w:style>
  <w:style w:type="paragraph" w:customStyle="1" w:styleId="6">
    <w:name w:val="正文 New"/>
    <w:next w:val="5"/>
    <w:qFormat/>
    <w:uiPriority w:val="0"/>
    <w:pPr>
      <w:widowControl w:val="0"/>
      <w:jc w:val="both"/>
    </w:pPr>
    <w:rPr>
      <w:rFonts w:ascii="Calibri" w:hAnsi="Calibri" w:eastAsia="宋体" w:cs="黑体"/>
      <w:kern w:val="2"/>
      <w:sz w:val="21"/>
      <w:szCs w:val="22"/>
      <w:lang w:val="en-US" w:eastAsia="zh-CN" w:bidi="ar-SA"/>
    </w:rPr>
  </w:style>
  <w:style w:type="paragraph" w:styleId="7">
    <w:name w:val="toc 8"/>
    <w:basedOn w:val="1"/>
    <w:next w:val="1"/>
    <w:unhideWhenUsed/>
    <w:qFormat/>
    <w:uiPriority w:val="39"/>
    <w:pPr>
      <w:ind w:left="2940" w:leftChars="1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2021-12-27T15:52:00Z</dcterms:created>
  <dc:creator>user</dc:creator>
  <cp:lastModifiedBy>苏苏</cp:lastModifiedBy>
  <dcterms:modified xsi:type="dcterms:W3CDTF">2021-12-29T06:06:01Z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