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宋体" w:cs="宋体"/>
          <w:sz w:val="32"/>
        </w:rPr>
      </w:pPr>
    </w:p>
    <w:p>
      <w:pPr>
        <w:spacing w:after="0" w:line="240" w:lineRule="auto"/>
        <w:rPr>
          <w:rFonts w:hint="eastAsia" w:ascii="宋体" w:hAnsi="宋体" w:eastAsia="宋体" w:cs="宋体"/>
        </w:rPr>
      </w:pP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 w:eastAsia="宋体"/>
          <w:sz w:val="44"/>
        </w:rPr>
        <w:t>山东省行政事业性收费管理条例</w:t>
      </w:r>
    </w:p>
    <w:p>
      <w:pPr>
        <w:spacing w:after="0" w:line="240" w:lineRule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textAlignment w:val="auto"/>
        <w:rPr>
          <w:rFonts w:hint="eastAsia" w:ascii="Times New Roman" w:hAnsi="Times New Roman" w:eastAsia="楷体_GB2312" w:cs="楷体_GB2312"/>
        </w:rPr>
      </w:pPr>
      <w:r>
        <w:rPr>
          <w:rFonts w:hint="eastAsia" w:ascii="Times New Roman" w:hAnsi="Times New Roman" w:eastAsia="楷体_GB2312" w:cs="楷体_GB2312"/>
          <w:sz w:val="32"/>
        </w:rPr>
        <w:t>（1990年12月27日山东省第七届人民代表大会常务委员会第十九次会议通过　根据2016年3月30日山东省第十二届人民代表大会常务委员会第二十次会议《关于修改〈山东省海洋环境保护条例〉等九件地方性法规的决定》第一次修正　根据2024年1月20日山东省第十四届人民代表大会常务委员会第七次会议《关于修改〈山东省水资源条例〉等六件地方性法规的决定》第二次修正）</w:t>
      </w:r>
    </w:p>
    <w:p>
      <w:pPr>
        <w:spacing w:after="0" w:line="240" w:lineRule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 w:eastAsia="黑体"/>
          <w:sz w:val="32"/>
        </w:rPr>
        <w:t>第一条</w:t>
      </w:r>
      <w:r>
        <w:rPr>
          <w:rFonts w:ascii="Times New Roman" w:hAnsi="Times New Roman" w:eastAsia="仿宋_GB2312"/>
          <w:sz w:val="32"/>
        </w:rPr>
        <w:t>　为了加强对行政事业性收费管理，规范收费行为，维护公民、法人和其他组织的合法权益，根据有关法律、行政法规，结合本省实际，制定本条例。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 w:eastAsia="黑体"/>
          <w:sz w:val="32"/>
        </w:rPr>
        <w:t>第二条</w:t>
      </w:r>
      <w:r>
        <w:rPr>
          <w:rFonts w:ascii="Times New Roman" w:hAnsi="Times New Roman" w:eastAsia="仿宋_GB2312"/>
          <w:sz w:val="32"/>
        </w:rPr>
        <w:t>　本省行政区域内的行政事业性收费及其监督管理活动，适用本条例。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 w:eastAsia="仿宋_GB2312"/>
          <w:sz w:val="32"/>
        </w:rPr>
        <w:t>本条例所称行政事业性收费，是指国家机关、事业单位、代行政府职能的社会团体以及</w:t>
      </w:r>
      <w:bookmarkStart w:id="0" w:name="_GoBack"/>
      <w:bookmarkEnd w:id="0"/>
      <w:r>
        <w:rPr>
          <w:rFonts w:ascii="Times New Roman" w:hAnsi="Times New Roman" w:eastAsia="仿宋_GB2312"/>
          <w:sz w:val="32"/>
        </w:rPr>
        <w:t>其他组织根据法律、法规有关规定，依照规定程序批准，在实施社会公共管理、提供特定公共服务过程中，向特定对象收取的费用。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 w:eastAsia="黑体"/>
          <w:sz w:val="32"/>
        </w:rPr>
        <w:t>第三条</w:t>
      </w:r>
      <w:r>
        <w:rPr>
          <w:rFonts w:ascii="Times New Roman" w:hAnsi="Times New Roman" w:eastAsia="仿宋_GB2312"/>
          <w:sz w:val="32"/>
        </w:rPr>
        <w:t>　县级以上人民政府应当严格执行国家法律、法规，加强对行政事业性收费管理工作的领导，充分发挥有关职能部门的监督管理作用，定期或者不定期地对行政事业性收费进行监督检查。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 w:eastAsia="黑体"/>
          <w:sz w:val="32"/>
        </w:rPr>
        <w:t>第四条</w:t>
      </w:r>
      <w:r>
        <w:rPr>
          <w:rFonts w:ascii="Times New Roman" w:hAnsi="Times New Roman" w:eastAsia="仿宋_GB2312"/>
          <w:sz w:val="32"/>
        </w:rPr>
        <w:t>　省人民政府财政、发展改革部门按照职责负责行政事业性收费项目和收费标准的管理。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 w:eastAsia="仿宋_GB2312"/>
          <w:sz w:val="32"/>
        </w:rPr>
        <w:t>县级以上人民政府财政、发展改革、市场监督管理等部门应当按照职责分工，做好行政事业性收费的监督检查工作。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 w:eastAsia="黑体"/>
          <w:sz w:val="32"/>
        </w:rPr>
        <w:t>第五条</w:t>
      </w:r>
      <w:r>
        <w:rPr>
          <w:rFonts w:ascii="Times New Roman" w:hAnsi="Times New Roman" w:eastAsia="仿宋_GB2312"/>
          <w:sz w:val="32"/>
        </w:rPr>
        <w:t>　申请设立行政事业性收费项目的，应当按照国家和省有关规定，向省人民政府财政、发展改革部门提出书面申请，由省人民政府财政、发展改革部门提出审核意见，报省人民政府批准。法律、行政法规另有规定的，适用其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 w:eastAsia="仿宋_GB2312"/>
          <w:sz w:val="32"/>
        </w:rPr>
        <w:t>变更行政事业性收费项目的，应当按照前款规定程序重新报经批准。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 w:eastAsia="黑体"/>
          <w:sz w:val="32"/>
        </w:rPr>
        <w:t>第六条</w:t>
      </w:r>
      <w:r>
        <w:rPr>
          <w:rFonts w:ascii="Times New Roman" w:hAnsi="Times New Roman" w:eastAsia="仿宋_GB2312"/>
          <w:sz w:val="32"/>
        </w:rPr>
        <w:t>　制定和调整行政事业性收费标准，由省人民政府有关部门提出具体方案，报省人民政府发展改革部门会同省人民政府财政部门审批。其中重要项目的收费标准，报省人民政府批准。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 w:eastAsia="仿宋_GB2312"/>
          <w:sz w:val="32"/>
        </w:rPr>
        <w:t>省人民政府授权设区的市、县（市、区）人民政府制定和调整行政事业性收费标准的，按照有关规定执行。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 w:eastAsia="黑体"/>
          <w:sz w:val="32"/>
        </w:rPr>
        <w:t>第七条</w:t>
      </w:r>
      <w:r>
        <w:rPr>
          <w:rFonts w:ascii="Times New Roman" w:hAnsi="Times New Roman" w:eastAsia="仿宋_GB2312"/>
          <w:sz w:val="32"/>
        </w:rPr>
        <w:t>　收取行政事业性收费，必须使用财政部门统一监（印）制的非税收入票据。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 w:eastAsia="黑体"/>
          <w:sz w:val="32"/>
        </w:rPr>
        <w:t>第八条</w:t>
      </w:r>
      <w:r>
        <w:rPr>
          <w:rFonts w:ascii="Times New Roman" w:hAnsi="Times New Roman" w:eastAsia="仿宋_GB2312"/>
          <w:sz w:val="32"/>
        </w:rPr>
        <w:t>　行政事业性收费单位应当按照国家有关规定在收费场所、门户网站的显著位置进行收费公示，自觉接受社会监督。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 w:eastAsia="黑体"/>
          <w:sz w:val="32"/>
        </w:rPr>
        <w:t>第九条</w:t>
      </w:r>
      <w:r>
        <w:rPr>
          <w:rFonts w:ascii="Times New Roman" w:hAnsi="Times New Roman" w:eastAsia="仿宋_GB2312"/>
          <w:sz w:val="32"/>
        </w:rPr>
        <w:t>　行政事业性收费应当按照规定缴入国库或者财政专户，纳入财政预算管理。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 w:eastAsia="黑体"/>
          <w:sz w:val="32"/>
        </w:rPr>
        <w:t>第十条</w:t>
      </w:r>
      <w:r>
        <w:rPr>
          <w:rFonts w:ascii="Times New Roman" w:hAnsi="Times New Roman" w:eastAsia="仿宋_GB2312"/>
          <w:sz w:val="32"/>
        </w:rPr>
        <w:t>　经批准的行政事业性收费，有关单位和个人应当按照规定缴纳。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 w:eastAsia="仿宋_GB2312"/>
          <w:sz w:val="32"/>
        </w:rPr>
        <w:t>对违法收费，有关单位和个人有权拒绝缴纳，并可以向县级以上人民政府及其有关部门投诉举报；有关部门应当依法及时处理。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 w:eastAsia="黑体"/>
          <w:sz w:val="32"/>
        </w:rPr>
        <w:t>第十一条</w:t>
      </w:r>
      <w:r>
        <w:rPr>
          <w:rFonts w:ascii="Times New Roman" w:hAnsi="Times New Roman" w:eastAsia="仿宋_GB2312"/>
          <w:sz w:val="32"/>
        </w:rPr>
        <w:t>　县级以上人民政府财政、发展改革、市场监督管理等部门依法对行政事业性收费实施监督检查时，收费单位应当予以配合，如实提供所需的账簿、单据、凭证、文件以及其他相关资料。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 w:eastAsia="黑体"/>
          <w:sz w:val="32"/>
        </w:rPr>
        <w:t>第十二条</w:t>
      </w:r>
      <w:r>
        <w:rPr>
          <w:rFonts w:ascii="Times New Roman" w:hAnsi="Times New Roman" w:eastAsia="仿宋_GB2312"/>
          <w:sz w:val="32"/>
        </w:rPr>
        <w:t>　收费单位有下列行为之一的，由县级以上人民政府市场监督管理、财政部门按照职责分工，责令限期改正，违法收取的钱款退还交费者；无法退还的，按照有关规定上缴国库：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 w:eastAsia="仿宋_GB2312"/>
          <w:sz w:val="32"/>
        </w:rPr>
        <w:t>（一）违反规定设立行政事业性收费项目的；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 w:eastAsia="仿宋_GB2312"/>
          <w:sz w:val="32"/>
        </w:rPr>
        <w:t>（二）违反规定擅自改变行政事业性收费的主体、范围、对象、标准和期限的；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 w:eastAsia="仿宋_GB2312"/>
          <w:sz w:val="32"/>
        </w:rPr>
        <w:t>（三）对已明令取消、暂停执行或者降低标准的行政事业性收费，仍然按照原定项目、标准继续收取的；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 w:eastAsia="仿宋_GB2312"/>
          <w:sz w:val="32"/>
        </w:rPr>
        <w:t>（四）将职责范围内的行政管理事项转移到第三方机构，强制或者变相强制收费的。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 w:eastAsia="黑体"/>
          <w:sz w:val="32"/>
        </w:rPr>
        <w:t>第十三条</w:t>
      </w:r>
      <w:r>
        <w:rPr>
          <w:rFonts w:ascii="Times New Roman" w:hAnsi="Times New Roman" w:eastAsia="仿宋_GB2312"/>
          <w:sz w:val="32"/>
        </w:rPr>
        <w:t>　违反行政事业性收费财务管理制度的，按照有关财政、审计的法律、法规、规章予以处罚。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 w:eastAsia="黑体"/>
          <w:sz w:val="32"/>
        </w:rPr>
        <w:t>第十四条</w:t>
      </w:r>
      <w:r>
        <w:rPr>
          <w:rFonts w:ascii="Times New Roman" w:hAnsi="Times New Roman" w:eastAsia="仿宋_GB2312"/>
          <w:sz w:val="32"/>
        </w:rPr>
        <w:t>　县级以上人民政府财政、发展改革、市场监督管理等部门及其监督检查人员，在行政事业性收费监督管理工作中滥用职权、玩忽职守、徇私舞弊的，对直接负责的主管人员和其他直接责任人员，依法给予处分；构成犯罪的，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 w:eastAsia="黑体"/>
          <w:sz w:val="32"/>
        </w:rPr>
        <w:t>第十五条</w:t>
      </w:r>
      <w:r>
        <w:rPr>
          <w:rFonts w:ascii="Times New Roman" w:hAnsi="Times New Roman" w:eastAsia="仿宋_GB2312"/>
          <w:sz w:val="32"/>
        </w:rPr>
        <w:t>　本条例（原称《山东省行政性事业性收费管理条例》）自公布之日起施行。1989年11月20日山东省人民政府颁布的《山东省行政性事业性收费管理暂行办法》同时废止。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ZDM3MTQ4YzRiMTFhMWY4OTdiMTg1NTc1NDk1MzVhMGE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9B41737"/>
    <w:rsid w:val="0D9804AC"/>
    <w:rsid w:val="11E4354D"/>
    <w:rsid w:val="16DC7373"/>
    <w:rsid w:val="29300702"/>
    <w:rsid w:val="344634A2"/>
    <w:rsid w:val="3DE63740"/>
    <w:rsid w:val="481351D2"/>
    <w:rsid w:val="53543565"/>
    <w:rsid w:val="558A062C"/>
    <w:rsid w:val="5AF01968"/>
    <w:rsid w:val="615E060A"/>
    <w:rsid w:val="622F12CF"/>
    <w:rsid w:val="628250A4"/>
    <w:rsid w:val="653E08AD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autoRedefine/>
    <w:unhideWhenUsed/>
    <w:qFormat/>
    <w:uiPriority w:val="99"/>
    <w:rPr>
      <w:color w:val="954F72"/>
      <w:u w:val="single"/>
    </w:rPr>
  </w:style>
  <w:style w:type="character" w:styleId="7">
    <w:name w:val="Hyperlink"/>
    <w:autoRedefine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autoRedefine/>
    <w:qFormat/>
    <w:uiPriority w:val="99"/>
    <w:rPr>
      <w:sz w:val="18"/>
      <w:szCs w:val="18"/>
    </w:rPr>
  </w:style>
  <w:style w:type="character" w:customStyle="1" w:styleId="9">
    <w:name w:val="页眉 字符"/>
    <w:link w:val="3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雷</cp:lastModifiedBy>
  <dcterms:modified xsi:type="dcterms:W3CDTF">2024-04-29T08:38:16Z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2052-12.1.0.16729</vt:lpwstr>
  </property>
</Properties>
</file>