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rPr>
          <w:rFonts w:hint="eastAsia" w:ascii="宋体" w:hAnsi="宋体" w:cs="宋体"/>
          <w:b w:val="0"/>
          <w:bCs w:val="0"/>
          <w:sz w:val="32"/>
          <w:szCs w:val="32"/>
        </w:rPr>
      </w:pPr>
      <w:bookmarkStart w:id="0" w:name="ref_[1]_17041632"/>
    </w:p>
    <w:p>
      <w:pPr>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rPr>
          <w:rFonts w:hint="eastAsia" w:ascii="宋体" w:hAnsi="宋体" w:cs="宋体"/>
          <w:b w:val="0"/>
          <w:bCs w:val="0"/>
          <w:sz w:val="32"/>
          <w:szCs w:val="32"/>
        </w:rPr>
      </w:pPr>
    </w:p>
    <w:p>
      <w:pPr>
        <w:pStyle w:val="2"/>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b w:val="0"/>
          <w:bCs/>
        </w:rPr>
      </w:pPr>
      <w:r>
        <w:rPr>
          <w:rFonts w:hint="eastAsia"/>
          <w:b w:val="0"/>
          <w:bCs/>
        </w:rPr>
        <w:t>山东省见义勇为人员奖励和保护条例</w:t>
      </w:r>
    </w:p>
    <w:p>
      <w:pPr>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（2012年9月27日山东省第十一届人民代表大会常务委员会第</w:t>
      </w:r>
      <w:r>
        <w:rPr>
          <w:rFonts w:hint="eastAsia" w:ascii="楷体_GB2312" w:hAnsi="楷体_GB2312" w:eastAsia="楷体_GB2312" w:cs="楷体_GB2312"/>
          <w:sz w:val="32"/>
          <w:szCs w:val="32"/>
          <w:lang w:eastAsia="zh-CN"/>
        </w:rPr>
        <w:t>三十三</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p>
    <w:p>
      <w:pPr>
        <w:pageBreakBefore w:val="0"/>
        <w:widowControl w:val="0"/>
        <w:kinsoku/>
        <w:wordWrap/>
        <w:overflowPunct/>
        <w:topLinePunct w:val="0"/>
        <w:autoSpaceDE/>
        <w:autoSpaceDN/>
        <w:bidi w:val="0"/>
        <w:adjustRightInd/>
        <w:snapToGrid/>
        <w:spacing w:line="560" w:lineRule="exact"/>
        <w:ind w:right="0" w:rightChars="0" w:firstLine="420" w:firstLineChars="200"/>
        <w:jc w:val="center"/>
        <w:textAlignment w:val="auto"/>
        <w:rPr>
          <w:rFonts w:ascii="宋体" w:hAnsi="宋体" w:cs="宋体"/>
        </w:rPr>
      </w:pPr>
    </w:p>
    <w:p>
      <w:pPr>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1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pStyle w:val="1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sz w:val="32"/>
          <w:szCs w:val="32"/>
        </w:rPr>
        <w:t>确认</w:t>
      </w:r>
    </w:p>
    <w:p>
      <w:pPr>
        <w:pStyle w:val="1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第三章  </w:t>
      </w:r>
      <w:r>
        <w:rPr>
          <w:rFonts w:hint="eastAsia" w:ascii="楷体_GB2312" w:hAnsi="楷体_GB2312" w:eastAsia="楷体_GB2312" w:cs="楷体_GB2312"/>
          <w:sz w:val="32"/>
          <w:szCs w:val="32"/>
        </w:rPr>
        <w:t>奖励</w:t>
      </w:r>
    </w:p>
    <w:p>
      <w:pPr>
        <w:pStyle w:val="1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w:t>
      </w:r>
      <w:bookmarkStart w:id="7" w:name="_GoBack"/>
      <w:bookmarkEnd w:id="7"/>
    </w:p>
    <w:p>
      <w:pPr>
        <w:pStyle w:val="1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第五章  </w:t>
      </w:r>
      <w:r>
        <w:rPr>
          <w:rFonts w:hint="eastAsia" w:ascii="楷体_GB2312" w:hAnsi="楷体_GB2312" w:eastAsia="楷体_GB2312" w:cs="楷体_GB2312"/>
          <w:sz w:val="32"/>
          <w:szCs w:val="32"/>
        </w:rPr>
        <w:t>经费</w:t>
      </w:r>
    </w:p>
    <w:p>
      <w:pPr>
        <w:pStyle w:val="1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第六章  </w:t>
      </w:r>
      <w:r>
        <w:rPr>
          <w:rFonts w:hint="eastAsia" w:ascii="楷体_GB2312" w:hAnsi="楷体_GB2312" w:eastAsia="楷体_GB2312" w:cs="楷体_GB2312"/>
          <w:sz w:val="32"/>
          <w:szCs w:val="32"/>
        </w:rPr>
        <w:t>法律责任</w:t>
      </w:r>
    </w:p>
    <w:p>
      <w:pPr>
        <w:pStyle w:val="10"/>
        <w:pageBreakBefore w:val="0"/>
        <w:widowControl w:val="0"/>
        <w:numPr>
          <w:ilvl w:val="0"/>
          <w:numId w:val="0"/>
        </w:numPr>
        <w:kinsoku/>
        <w:wordWrap/>
        <w:overflowPunct/>
        <w:topLinePunct w:val="0"/>
        <w:autoSpaceDE/>
        <w:autoSpaceDN/>
        <w:bidi w:val="0"/>
        <w:adjustRightInd/>
        <w:snapToGrid/>
        <w:spacing w:line="560" w:lineRule="exact"/>
        <w:ind w:leftChars="200" w:right="0" w:rightChars="0"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第七章  </w:t>
      </w:r>
      <w:r>
        <w:rPr>
          <w:rFonts w:hint="eastAsia" w:ascii="楷体_GB2312" w:hAnsi="楷体_GB2312" w:eastAsia="楷体_GB2312" w:cs="楷体_GB2312"/>
          <w:sz w:val="32"/>
          <w:szCs w:val="32"/>
        </w:rPr>
        <w:t>附则</w:t>
      </w:r>
    </w:p>
    <w:p>
      <w:pPr>
        <w:pStyle w:val="10"/>
        <w:pageBreakBefore w:val="0"/>
        <w:widowControl w:val="0"/>
        <w:numPr>
          <w:ilvl w:val="0"/>
          <w:numId w:val="0"/>
        </w:numPr>
        <w:kinsoku/>
        <w:wordWrap/>
        <w:overflowPunct/>
        <w:topLinePunct w:val="0"/>
        <w:autoSpaceDE/>
        <w:autoSpaceDN/>
        <w:bidi w:val="0"/>
        <w:adjustRightInd/>
        <w:snapToGrid/>
        <w:spacing w:line="560" w:lineRule="exact"/>
        <w:ind w:leftChars="200" w:right="0" w:rightChars="0" w:firstLine="640"/>
        <w:textAlignment w:val="auto"/>
        <w:rPr>
          <w:rFonts w:hint="eastAsia" w:ascii="仿宋_GB2312" w:hAnsi="仿宋_GB2312" w:eastAsia="仿宋_GB2312" w:cs="仿宋_GB2312"/>
          <w:sz w:val="32"/>
          <w:szCs w:val="32"/>
        </w:rPr>
      </w:pP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仿宋_GB2312" w:hAnsi="仿宋_GB2312" w:eastAsia="仿宋_GB2312" w:cs="仿宋_GB2312"/>
          <w:b/>
          <w:bCs/>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"http://baike.baidu.com/view/138303.htm"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见义勇为</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人员奖励和保护工作，鼓励见义勇为，弘扬社会正气，促进社会管理综合治理和社会主义精神文明建设，根据有关法律、行政法规，结合本省实际，制定本条例。</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本条例所称见义勇为，是指在法定职责或者特定义务之外的人员，挺身而出，保护国家利益、公共利益、集体利益或者他人人身、财产安全的行为。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"http://baike.baidu.com/view/593053.htm"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行政区域</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内见义勇为人员的奖励和保护，适用本条例。</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本省行政区域外见义勇为的本省公民的奖励和保护，参照本条例执行。</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对见义勇为人员的奖励和保护实行政府主导与全社会参与相结合，精神鼓励与物质奖励相结合，抚恤优待与社会保障相结合的原则。</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县级以上人民政府负责见义勇为人员奖励和保护工作，将其纳入社会管理综合治理规划，加强见义勇为法律、法规的宣传，建立稳定的经费保障机制，并组织实施本条例。</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县级以上社会管理综合治理部门具体组织、协调和指导见义勇为人员奖励和保护工作。</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人民法院、人民检察院和公安、民政、财政、人力资源社会保障、教育、卫生、司法行政、工商、税务等部门按照各自职责，做好见义勇为人员奖励和保护的相关工作。</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工会、共产主义青年团、妇女联合会、残疾人联合会等团体，应当支持、帮助见义勇为人员主张和实现其合法权益。</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见义勇为基金会或者见义勇为协会应当协助人民政府、社会管理综合治理部门做好见义勇为人员奖励和保护工作。</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全社会应当尊重和保护见义勇为人员，支持见义勇为；鼓励单位和个人向见义勇为基金会、见义勇为人员进行捐赠或者捐助。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县级以上人民政府及有关部门应当按照有关规定，对为见义勇为事业做出贡献的单位和个人给予表彰、奖励。</w:t>
      </w:r>
    </w:p>
    <w:p>
      <w:pPr>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广播、电视、报刊、互联网、移动通信等各类媒体应当积极宣传报道见义勇为先进事迹，倡导科学合理实施见义勇为，营造关爱见义勇为人员的社会氛围。</w:t>
      </w:r>
    </w:p>
    <w:p>
      <w:pPr>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确认</w:t>
      </w: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仿宋_GB2312" w:hAnsi="仿宋_GB2312" w:eastAsia="仿宋_GB2312" w:cs="仿宋_GB2312"/>
          <w:b/>
          <w:bCs/>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有下列行为之一，且符合本条例第二条规定的，应当确认为见义勇为：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（一）同危害国家安全、公共安全或者扰乱公共秩序的违法犯罪行为作斗争的；</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（二）同侵害国家、集体财产或者他人生命财产安全的违法犯罪行为作斗争的；</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（三）在发生自然灾害或者事故灾难时，救人、抢险、救灾的；</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（四）应当确认为见义勇为的其他行为。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县级以上社会管理综合治理部门会同见义勇为基金会或者见义勇为协会，作为见义勇为确认机构。</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行为人或者其近亲属可以向行为发生地的县级见义勇为确认机构申请确认见义勇为；行为人所在单位、基层群众性自治组织和其他人员可以向行为发生地的县级见义勇为确认机构举荐确认见义勇为。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申请、举荐确认见义勇为应当自行为发生之日起一年内提出；情况复杂的，不超过两年。</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对事实清楚、证明材料齐全的确认申请、举荐，符合见义勇为条件的，见义勇为确认机构应当提出拟确认的意见。</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事实不清、证明材料不齐全的确认申请、举荐，见义勇为确认机构应当要求申请人、举荐人补齐证明材料；必要时，组织协调有关部门进行调查核实，收集证明材料，见义勇为受益人、见证人和有关单位应当积极配合，如实提供相关证明材料。</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对情况复杂、争议较大的确认申请、举荐，见义勇为确认机构应当组织由有关机关、专家学者、人大代表、政协委员参加的评审委员会进行评审，对符合见义勇为条件的，作出拟确认的评审意见。</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拟确认的意见和拟确认的评审意见应当自见义勇为确认机构收到申请、举荐之日起六十日内作出。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见义勇为行为发生地公安机关、民政部门的证明材料，可以作为确认见义勇为的依据。下列证明材料，经查证属实，也可以作为确认见义勇为的依据：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（一）见义勇为行为发生地乡镇人民政府、街道办事处、有关人民团体或者基层群众性自治组织的证明材料；</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（二）受益人、见证人的证明材料；</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（三）其他了解情况的单位和个人的证明材料。</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拟确认为见义勇为的，见义勇为确认机构应当将见义勇为人员名单和主要事迹向社会公示，对公示期届满无异议或者经审查异议不成立的，予以确认，并颁发见义勇为证书。因保护见义勇为人员及其近亲属安全或者其他情况需要保密的，可以不公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对不确认为见义勇为的，见义勇为确认机构应当作出不予确认的书面决定，并通知申请人、举荐人。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人、举荐人对不予确认的书面决定有异议的，可以自收到该书面决定之日起十日内，向上一级见义勇为确认机构申请再次确认。上一级见义勇为确认机构应当自收到再次确认申请之日起三十日内，组织评审或者重新评审。</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对依照前款规定重新作出的不予确认的书面决定仍有异议的，见义勇为确认机构不予受理。</w:t>
      </w:r>
    </w:p>
    <w:p>
      <w:pPr>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禁止弄虚作假，骗取见义勇为称号和相关待遇。</w:t>
      </w:r>
    </w:p>
    <w:p>
      <w:pPr>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黑体" w:hAnsi="黑体" w:eastAsia="黑体" w:cs="黑体"/>
          <w:b/>
          <w:bCs/>
          <w:sz w:val="32"/>
          <w:szCs w:val="32"/>
        </w:rPr>
      </w:pP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奖</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 励</w:t>
      </w: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仿宋_GB2312" w:hAnsi="仿宋_GB2312" w:eastAsia="仿宋_GB2312" w:cs="仿宋_GB2312"/>
          <w:b/>
          <w:bCs/>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对见义勇为人员的奖励包括：</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（一）授予荣誉称号；</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（二）颁发奖金；</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（三）法律、法规、规章规定的其他奖励。</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见义勇为人员符合其他奖励条件的，按照有关规定给予奖励。</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对事迹特别突出，在全省范围内有重大影响的见义勇为人员，经省社会管理综合治理委员会推荐，由省人民政府授予“山东省见义勇为英雄”荣誉称号，颁发荣誉证书并给予物质奖励，享受省级劳动模范或者先进工作者待遇。</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对事迹突出，在全省范围内有较大影响的见义勇为人员，由省社会管理综合治理部门会同省见义勇为基金会授予“山东省见义勇为模范”称号，颁发证书并给予物质奖励。</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设区的市、县（市、区）人民政府对在本行政区域内有较大影响的见义勇为人员，授予相应称号，颁发证书并给予物质奖励。</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见义勇为人员所得物质奖励，税务机关按照国家有关规定免征个人所得税。</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对见义勇为群体的表彰和奖励，参照本条规定执行。</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需要由上一级表彰的见义勇为人员，由设区的市或者县（市、区）见义勇为确认机构向上一级见义勇为确认机构申报。</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乡镇人民政府、街道办事处、有关人民团体、基层群众性自治组织以及见义勇为人员所在单位，可以依照本条例对见义勇为人员进行表彰和奖励。</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表彰、奖励见义勇为人员应当公开进行。但是，见义勇为人员要求保密或者有关部门认为应当保密的除外。 </w:t>
      </w: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仿宋_GB2312" w:hAnsi="仿宋_GB2312" w:eastAsia="仿宋_GB2312" w:cs="仿宋_GB2312"/>
          <w:b/>
          <w:bCs/>
          <w:sz w:val="32"/>
          <w:szCs w:val="32"/>
        </w:rPr>
      </w:pP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保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护</w:t>
      </w: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仿宋_GB2312" w:hAnsi="仿宋_GB2312" w:eastAsia="仿宋_GB2312" w:cs="仿宋_GB2312"/>
          <w:b/>
          <w:bCs/>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各级人民政府及有关部门应当保护见义勇为人员的合法权益，按照有关规定对见义勇为人员及其家庭、子女在基本生活、教育、就业、医疗、住房等方面给予优先照顾。</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社会管理综合治理部门应当会同见义勇为基金会或者见义勇为协会，建立、完善对见义勇为人员的回访制度和长期跟踪服务制度，协调有关部门落实对见义勇为人员的各项优惠待遇。</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见义勇为受益人应当对见义勇为人员及其家庭成员表达谢意、予以慰藉。</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公安机关对人身、财产安全需要保护的见义勇为人员及其近亲属，应当依法采取措施予以保护；对恐吓、侮辱、殴打、诬告、陷害见义勇为人员及其近亲属的违法犯罪行为，应当依法及时处理。</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见义勇为人员负伤、致残、死亡的，其医疗费、护理费、交通费等为治疗和康复支出的合理费用、因误工减少的收入、残疾生活辅助具费和残疾赔偿金、丧葬费、死亡赔偿金、精神损害赔偿金等，由加害人或者责任人依法承担赔偿责任;没有加害人、责任人，或者不能确定加害人、责任人以及加害人、责任人无力支付的，按照下列方式支付：</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（一）见义勇为人员符合社会保险法律、行政法规规定，享受工伤保险、医疗保险待遇的，由用人单位或者社会保险经办机构按照规定支付；</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（二）见义勇为人员享受公费医疗待遇的，按照规定从公费医疗经费中支付；</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（三）见义勇为受益人应当给予适当补偿；</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（四）见义勇为人员有工作单位的，所在单位应当给予补助；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（五）见义勇为人员无工作单位或者工作单位无力支付或者未参加社会保险的，从见义勇为基金中给予适当补助；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（六）情况特殊确有实际困难仍需救助的，由当地人民政府按照有关规定给予救助。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见义勇为人员遭受财产损失的，由加害人或者责任人依法赔偿，受益人应当给予适当补偿。</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见义勇为死亡或者致残人员的子女接受学前教育的，公办幼儿园应当在同等条件下优先接收；接受义务教育的，公办学校应当按照就近入学的原则接收。见义勇为人员和因见义勇为死亡或者致残人员的子女参加高级中等教育招生考试或者高等学校招生考试的，按照有关规定给予优待。</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对因见义勇为死亡或者致残以及经济困难的见义勇为人员家庭，教育部门应当根据有关规定优先给予教育资助。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因见义勇为负伤的人员，在国家规定的治疗期内，有工作单位的，所在单位应当视为正常出勤，原享有的劳动报酬等待遇不变。</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因见义勇为致残不能适应原工作岗位的人员，所在单位应当根据实际情况适当调整其工作岗位，非因法定事由、非经法定程序，不得辞退、解除劳动合同或者聘用合同。</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对有关部门和个人送治的因见义勇为负伤人员，医疗机构应当按照先救治、后收费的原则及时抢救，对急危重症的优先救治，不得拒绝、推诿或者拖延。</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因紧急救治发生的医疗费用，按照国家相关规定支付。</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鼓励医疗机构、康复机构减收或者免收见义勇为人员救治期间的医疗和康复费用。</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见义勇为人员及其近亲属因见义勇为遭受人身损害或者财产损失请求法律援助的，法律援助机构应当依法提供法律援助。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人民法院受理因见义勇为受到损害提起的诉讼，见义勇为人员及其近亲属申请司法救助的，准予缓交、减交、免交诉讼费用。</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见义勇为死亡的人员被评定为烈士或者经有关部门认定为因公(工)牺牲(死亡)的,其近亲属按照国家规定享受相关待遇；未被评定为烈士或者未被认定为因公(工)牺牲(死亡)的其他人员，按照国家有关规定，以不低于上一年度全国城镇居民人均可支配收入的二十倍加四十个月的中国人民解放军排职少尉军官工资的标准对其近亲属发放一次性补助金。</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因见义勇为人员死亡致孤的其家庭成员，按照国家规定享受供养待遇或者基本生活补助。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因见义勇为致残的人员，符合残疾人标准的，由残疾人联合会核发残疾人证，享受残疾人优惠待遇；符合《工伤保险条例》或者《伤残抚恤管理办法》规定范围和条件的，享受相关待遇。</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见义勇为死亡或者致残丧失劳动能力人员的直系亲属有就业需求的，由当地人力资源社会保障部门免费提供政策咨询、职业指导、就业信息等服务，优先向用人单位推荐，参加技能培训的给予职业培训补贴，就业困难的按照规定由公益性岗位优先安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因见义勇为死亡的人员生前扶养的直系亲属、见义勇为致残人员及其扶养的直系亲属，符合社会救助条件的，民政部门应当按照有关规定给予救助。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见义勇为人员从事个体经营活动的，质量技术监督、工商、卫生、食品药品监督管理等主管部门应当依法优先办理证照，并减收、免收有关行政收费，税务机关应当依法减征、免征有关税款。</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对符合廉租住房、公共租赁住房和经济适用住房保障条件的城市见义勇为人员家庭，应当优先纳入住房保障体系，优先配租、配售保障性住房或者发放住房租赁补贴；对符合农村危房改造条件的见义勇为人员家庭应当优先给予安排。</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人员无工作单位、无固定收入，生活困难，符合最低生活保障救助、专项救助和临时救助条件的，民政部门应当按照国家有关规定给予救助。见义勇为人员在申请最低生活保障待遇时，其获得的政府抚恤金、补助金，按照有关规定不计入家庭收入。</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确认见义勇为、鉴定行为人的劳动能力以及颁发证书、出具鉴定意见，不得向申请人、举荐人、行为人收取任何费用，相关费用由见义勇为基金承担。</w:t>
      </w:r>
    </w:p>
    <w:p>
      <w:pPr>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rPr>
          <w:rFonts w:hint="eastAsia" w:ascii="仿宋_GB2312" w:hAnsi="仿宋_GB2312" w:eastAsia="仿宋_GB2312" w:cs="仿宋_GB2312"/>
          <w:b/>
          <w:bCs/>
          <w:sz w:val="32"/>
          <w:szCs w:val="32"/>
        </w:rPr>
      </w:pPr>
      <w:bookmarkStart w:id="1" w:name="sub17041632_2_5"/>
      <w:bookmarkEnd w:id="1"/>
      <w:bookmarkStart w:id="2" w:name="2_5"/>
      <w:bookmarkEnd w:id="2"/>
      <w:bookmarkStart w:id="3" w:name="第五章_经_费"/>
      <w:bookmarkEnd w:id="3"/>
    </w:p>
    <w:p>
      <w:pPr>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rPr>
          <w:rFonts w:hint="eastAsia" w:ascii="仿宋_GB2312" w:hAnsi="仿宋_GB2312" w:eastAsia="仿宋_GB2312" w:cs="仿宋_GB2312"/>
          <w:b/>
          <w:bCs/>
          <w:sz w:val="32"/>
          <w:szCs w:val="32"/>
        </w:rPr>
      </w:pPr>
    </w:p>
    <w:p>
      <w:pPr>
        <w:pageBreakBefore w:val="0"/>
        <w:widowControl w:val="0"/>
        <w:numPr>
          <w:ilvl w:val="0"/>
          <w:numId w:val="1"/>
        </w:numPr>
        <w:kinsoku/>
        <w:wordWrap/>
        <w:overflowPunct/>
        <w:topLinePunct w:val="0"/>
        <w:autoSpaceDE/>
        <w:autoSpaceDN/>
        <w:bidi w:val="0"/>
        <w:adjustRightInd/>
        <w:snapToGrid/>
        <w:spacing w:line="560" w:lineRule="exact"/>
        <w:ind w:right="0" w:rightChars="0" w:firstLine="640" w:firstLineChars="2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经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费</w:t>
      </w: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黑体" w:hAnsi="黑体" w:eastAsia="黑体" w:cs="黑体"/>
          <w:b w:val="0"/>
          <w:bCs w:val="0"/>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县级以上人民政府应当在财政预算中安排一定款项作为见义勇为资助资金，用于奖励和保护见义勇为人员。</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见义勇为基金来源包括：</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（一）县级以上人民政府财政资助；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（二）社会捐赠；</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（三）投资收益;</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（四）其他合法方式筹集的资金。</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见义勇为基金用于下列事项：</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（一）见义勇为人员的确认、表彰、奖励、慰问；</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（二）见义勇为人员劳动能力鉴定；</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（三）见义勇为死亡人员近亲属的抚恤；</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（四）见义勇为人员的补助、救助；</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（五）见义勇为事迹的宣传；</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（六）依法应当支付的其他费用。</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对见义勇为人员及其近亲属的抚恤、补助、救助，国家和本省已有规定的，按照有关规定支付。</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见义勇为基金会依照法律、法规和章程，筹集、使用和管理见义勇为基金。向见义勇为基金会捐赠的单位和个人，按照有关规定享受税收优惠。</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见义勇为基金应当专款专用，接受财政、审计等部门和捐赠人的监督，必须每年向社会公布使用情况。 </w:t>
      </w:r>
      <w:bookmarkEnd w:id="0"/>
    </w:p>
    <w:p>
      <w:pPr>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rPr>
          <w:rFonts w:hint="eastAsia" w:ascii="仿宋_GB2312" w:hAnsi="仿宋_GB2312" w:eastAsia="仿宋_GB2312" w:cs="仿宋_GB2312"/>
          <w:b/>
          <w:bCs/>
          <w:sz w:val="32"/>
          <w:szCs w:val="32"/>
        </w:rPr>
      </w:pPr>
      <w:bookmarkStart w:id="4" w:name="第六章_法律责任"/>
      <w:bookmarkEnd w:id="4"/>
      <w:bookmarkStart w:id="5" w:name="2_6"/>
      <w:bookmarkEnd w:id="5"/>
      <w:bookmarkStart w:id="6" w:name="sub17041632_2_6"/>
      <w:bookmarkEnd w:id="6"/>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仿宋_GB2312" w:hAnsi="仿宋_GB2312" w:eastAsia="仿宋_GB2312" w:cs="仿宋_GB2312"/>
          <w:b/>
          <w:bCs/>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见义勇为确认机构及其工作人员对见义勇为不及时确认，或者对见义勇为确认申请、举荐应当受理而不予受理的，由同级人民政府责令限期改正；造成不良后果和影响的，对直接负责的主管人员和其他直接责任人员给予处分。</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国家机关及其工作人员在见义勇为确认、奖励和保护工作中，玩忽职守、滥用职权、徇私舞弊，造成严重后果的，由主管机关对直接负责的主管人员和其他直接责任人员给予处分；构成犯罪的，依法追究刑事责任。</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医疗机构及其医护人员拒绝、推诿或者拖延救治因见义勇为负伤人员的，由卫生部门对医疗机构责令改正；情节严重的，由卫生部门或者所在单位对直接负责的主管人员和其他直接责任人员给予处分。</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用人单位未按时足额支付见义勇为人员在国家规定的治疗期间劳动报酬的，由人力资源社会保障部门责令限期支付；逾期不支付的，责令用人单位按照应付金额百分之五十以上百分之一百以下的标准向见义勇为人员加付赔偿金。</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用人单位违法解除见义勇为人员劳动合同的，用人单位应当依法向其支付赔偿金。</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违反本条例，有下列行为之一的，由有关部门责令改正；构成违反治安管理行为的，依法予以处罚；构成犯罪的，依法追究刑事责任：</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（一）拒绝提供或者不如实提供见义勇为证明材料的；</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（二）诬告见义勇为人员的；</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（三）损害见义勇为人员合法权益的其他行为。</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弄虚作假，骗取见义勇为称号、奖励、救助、捐助和抚恤的，经社会管理综合治理部门核实，由人民政府或者有关部门撤销其相应称号，追缴发放的奖金、救助和捐助款物、抚恤金、补助金等，并取消相应待遇；构成</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"http://baike.baidu.com/subview/14619/15776378.htm"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犯罪</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的，依法追究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"http://baike.baidu.com/view/27314.htm"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刑事责任</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对违反本条例的其他行为，法律、法规已有处理规定的，适用其规定。</w:t>
      </w: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仿宋_GB2312" w:hAnsi="仿宋_GB2312" w:eastAsia="仿宋_GB2312" w:cs="仿宋_GB2312"/>
          <w:b/>
          <w:bCs/>
          <w:sz w:val="32"/>
          <w:szCs w:val="32"/>
        </w:rPr>
      </w:pPr>
    </w:p>
    <w:p>
      <w:pPr>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 xml:space="preserve"> 本条例自2012年12月1日起施行。2001年4月6日山东省第九届人民代表大会常务委员会第二十次会议通过的《</w:t>
      </w:r>
      <w:r>
        <w:rPr>
          <w:rFonts w:hint="eastAsia" w:ascii="仿宋_GB2312" w:hAnsi="仿宋_GB2312" w:eastAsia="仿宋_GB2312" w:cs="仿宋_GB2312"/>
          <w:b w:val="0"/>
          <w:bCs w:val="0"/>
          <w:sz w:val="32"/>
          <w:szCs w:val="32"/>
        </w:rPr>
        <w:t>山东省</w:t>
      </w:r>
      <w:r>
        <w:rPr>
          <w:rFonts w:hint="eastAsia" w:ascii="仿宋_GB2312" w:hAnsi="仿宋_GB2312" w:eastAsia="仿宋_GB2312" w:cs="仿宋_GB2312"/>
          <w:sz w:val="32"/>
          <w:szCs w:val="32"/>
        </w:rPr>
        <w:t>见义勇为保护条例》同时废止。</w:t>
      </w: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3BAE"/>
    <w:multiLevelType w:val="singleLevel"/>
    <w:tmpl w:val="58673BAE"/>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7B0ADE"/>
    <w:rsid w:val="003665E6"/>
    <w:rsid w:val="003B079E"/>
    <w:rsid w:val="005B09DD"/>
    <w:rsid w:val="005D4C9F"/>
    <w:rsid w:val="006C25E2"/>
    <w:rsid w:val="00927915"/>
    <w:rsid w:val="00A867AA"/>
    <w:rsid w:val="058744D9"/>
    <w:rsid w:val="0DC47086"/>
    <w:rsid w:val="1D267444"/>
    <w:rsid w:val="225711DD"/>
    <w:rsid w:val="227A197D"/>
    <w:rsid w:val="27D64C05"/>
    <w:rsid w:val="37B2535C"/>
    <w:rsid w:val="47EF1CB7"/>
    <w:rsid w:val="5EC57E23"/>
    <w:rsid w:val="6C8F0137"/>
    <w:rsid w:val="74684DA6"/>
    <w:rsid w:val="75F036AC"/>
    <w:rsid w:val="787B0ADE"/>
    <w:rsid w:val="7E6A32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uiPriority w:val="0"/>
    <w:rPr>
      <w:color w:val="0000FF"/>
      <w:u w:val="single"/>
    </w:rPr>
  </w:style>
  <w:style w:type="paragraph" w:customStyle="1" w:styleId="10">
    <w:name w:val="List Paragraph"/>
    <w:basedOn w:val="1"/>
    <w:qFormat/>
    <w:uiPriority w:val="99"/>
    <w:pPr>
      <w:ind w:firstLine="420" w:firstLineChars="200"/>
    </w:pPr>
  </w:style>
  <w:style w:type="character" w:customStyle="1" w:styleId="11">
    <w:name w:val="页眉 字符"/>
    <w:basedOn w:val="7"/>
    <w:link w:val="6"/>
    <w:qFormat/>
    <w:uiPriority w:val="0"/>
    <w:rPr>
      <w:rFonts w:ascii="Calibri" w:hAnsi="Calibri" w:eastAsia="宋体" w:cs="Times New Roman"/>
      <w:kern w:val="2"/>
      <w:sz w:val="18"/>
      <w:szCs w:val="18"/>
    </w:rPr>
  </w:style>
  <w:style w:type="character" w:customStyle="1" w:styleId="12">
    <w:name w:val="页脚 字符"/>
    <w:basedOn w:val="7"/>
    <w:link w:val="5"/>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955</Words>
  <Characters>5450</Characters>
  <Lines>45</Lines>
  <Paragraphs>12</Paragraphs>
  <ScaleCrop>false</ScaleCrop>
  <LinksUpToDate>false</LinksUpToDate>
  <CharactersWithSpaces>6393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2016-12-18T08:44:00Z</dcterms:created>
  <dc:creator>刘杰勇</dc:creator>
  <cp:lastModifiedBy>pc</cp:lastModifiedBy>
  <dcterms:modified xsi:type="dcterms:W3CDTF">2017-01-09T12:40:30Z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