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岳麓山风景名胜区保护条例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（2006年10月27日长沙市第十二届人大常委会第三十一次会议通过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2006年11月30日湖南省第十届人大常委会第二十四次会议批准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根据2010年10月27日长沙市第十三届人大常委会第二十六次会议《关于修改和废止部分地方性法规的决定》修正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2010年11月27日湖南省第十一届人大常委会第十九次会议批准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自2010年月12月1日起施行）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为保护岳麓山风景名胜区自然资源、人文资源和生态环境，根据国家《风景名胜区条例》等法律法规，结合实际，制定本条例。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风景名胜区（以下简称风景名胜区）是国家级风景名胜区，其范围为：北至龙王港、咸嘉湖一线，南至后湖、寨子岭南缘，东至橘子洲以东湘江中心，西至桃花岭北侧山麓，总面积3520平方公里，其中包括麓山景区（含新民学会景点）、天马山景区、橘子洲景区、桃花岭景区、石佳岭景区、寨子岭景区、后湖景区、咸嘉湖景区。麓山景区、天马山景区、橘子洲景区以及岳麓书院与牌楼口之间牌楼路两侧各30米范围为风景</w:t>
      </w:r>
      <w:r>
        <w:rPr>
          <w:rFonts w:hint="eastAsia" w:ascii="仿宋" w:hAnsi="仿宋" w:eastAsia="仿宋" w:cs="仿宋"/>
          <w:sz w:val="32"/>
          <w:szCs w:val="32"/>
        </w:rPr>
        <w:t>名</w:t>
      </w:r>
      <w:r>
        <w:rPr>
          <w:rFonts w:hint="eastAsia" w:ascii="仿宋_GB2312" w:hAnsi="仿宋_GB2312" w:eastAsia="仿宋_GB2312" w:cs="仿宋_GB2312"/>
          <w:sz w:val="32"/>
          <w:szCs w:val="32"/>
        </w:rPr>
        <w:t>胜区的核心景区。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风景名胜区及其外围保护地带的具体界限依据国务院批准的《岳麓山国家重点风景名胜区总体规划》确定。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风景名胜区的保护工作遵循科学规划、统一管理、严格保护、永续利用的原则。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市人民政府应当将风景名胜区的保护纳入国民经济和社会发展规划，多渠道筹措风景名胜区的保护资金。</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市人民政府设立的岳麓山风景名胜区管理局负责风景名胜区规划的实施和风景名胜区保护、管理工作。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风景名胜区外围保护地带由所在地的区、县人民政府负责管理。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市人民政府有关行政管理部门、风景名胜区及其外围保护地带所在地的区（县）、乡（镇）政府、街道办事处应当按照各自职责，做好风景名胜资源的保护工作。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风景名胜区范围内的各单位应当保护好本单位内的风景名胜资源，服从岳麓山风景名胜区管理局对风景名胜资源的统一管理。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任何单位和个人都应当爱护风景名胜区的植被、水体、野生动物、文物古迹和各项设施，有权制止或者举报破坏风景名胜资源的行为。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对保护风景名胜区资源成绩突出的单位和个人，应当给予表彰或者奖励。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岳麓山风景名胜区管理局应当根据《岳麓山国家重点风景名胜区总体规划》编制各景区、景点的详细规划、专项规划，在广泛征求意见后，按照 国家有关规定报批，并向社会公布。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总体规划、详细规划和专项规划是风景名胜区保护、利用和管理的依据，必须严格执行，不得擅自改变；确需改变的，应当按照有关规定办理。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岳麓山风景名胜区管理局应当按照风景名胜区保护范围设立界桩。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风景名胜区内的土地、森林等自然资源和房屋等财产的所有权人、使用权人的合法权益受法律保护。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市人民政府按照规划的要求，征收核心景区内的农民集体所有土地时，应当依法做好补偿安置工作。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在风景名胜区内从事生产、经营活动必须使用清洁能源，污染物的排放等应当符合环境保护的有关规定。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切实保护风景名胜区内的植被，加强封山育林、护林防火、防治有害生物的工作。任何单位和个人不得擅自砍伐林木，因整理林相、更新林木 确需砍伐林木的，应当依法办理有关手续。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岳麓山风景名胜区管理局应当对风景名胜区内的古树名木登记建档，挂牌保护。严禁砍伐或者移栽古树名木。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严格保护风景名胜区内的古建筑、古园林、古墓葬、古遗址、碑碣石刻等文物古迹。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岳麓书院、黄兴墓、蔡锷墓、爱晚亭、麓山寺、云麓宫、新民学会旧址、七十三军抗日阵亡将士墓、橘子洲头诗词碑、飞来石等国家、省、市重点文物保护单位和古迹应当划定具体保护范围，作出标志说明，制订保护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风景名胜区内宗教场所的修缮，应当按照风景名胜区的规划和国家规定执行，保持其历史风貌。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风景名胜区内，应当建立健全安全保障制度，设立风景名胜区标志、路标和安全警示等标牌，改善安全、交通、消防、服务等设施和游览条件。禁止超容量接纳游客，禁止在没有安全保障的区域开展游览活动。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除景区内的环保型营运车辆、执行施工任务的车辆以及消防车、救护车等执行特殊任务的车辆外，禁止其他车辆在麓山景区和橘子洲景区内行驶。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在已建成的景区内进行经营活动，应当由岳麓山风景名胜区管理局采用招标等公平竞争的方式确定经营者。经营者应当依法办理相关手续，并 在指定的地点文明经营。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凡利用风景名胜资源进行经营活动的单位和个人，应当按照有关规定缴纳风景名胜资源有偿使用费。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风景名胜区内禁止下列行为：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（一）违反规划设立开发区、度假区；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（二）修建破坏景观、污染环境、妨碍游览的工程项目；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（三）破坏岳麓山、凤凰山、天马山、牛形山、桃花岭、寨子岭、金牛岭、石佳岭、扇子山等山岭的地形地貌；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（四）填塞或者污染桃子湖、咸嘉湖、后湖、顺塘水库；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（五）开山、采石、采矿、取土、烧窑、葬坟和修墓；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（六）损坏文物古迹、园林景观；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（七）在禁火区内吸烟、野炊、烧香点烛、燃放烟花爆竹；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（八）损毁或者擅自移动界桩；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（九）其他破坏风景名胜资源的行为。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核心景区内除遵守第十七条规定外,还禁止下列行为：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（一）建设宾馆、招待所、培训中心、疗养院以及与风景名胜资源保护无关的其他建（构）筑物；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（二）开设经营性餐馆（从核心景区外提供成品、半成品的快餐厅除外）；</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（三）新迁入住户；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（四）猎采野生动植物；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（五）在非指定地点倾倒垃圾、废弃物或者超标准排放污染物；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（六）损毁或者擅自移动标志、标牌、坐椅、垃圾箱等公共设施，刻画或者污损岩石、竹木；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（七）储存有毒、易燃、易爆物品。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风景名胜区及其外围保护地带的建设必须符合规划要求。建（构）筑物的布局、高度、体量、造型和色彩等应当与周围景观和环境相协调。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已建成的建（构）筑物，破坏景观、妨碍风景名胜资源保护的，应当按照规划的要求依法搬迁、拆除或者改作他用。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风景名胜区及其外围保护地带内的建设项目，在规划选址阶段应当按照有关规定进行环境影响评价和地质灾害评估，并制定水土保持方案。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风景名胜区内的建设工程应当经风景名胜区管理局审核后，依法办理有关手续。核心景区内的建设工程应当向社会公开征求意见。建设工程竣工后，岳麓山风景名胜区管理局应当参与验收。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风景名胜区外围保护地带内的建设工程在立项时，应当征求岳麓山风景名胜区管理局的意见。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风景名胜区及其外围保护地带内建设工程的绿地率应当达到风景名胜区总体规划的要求。建设工程的配套绿化建设费，应当列入总投资，不得低于该项目工程费用的2％，专项用于绿化建设。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风景名胜区及其外围保护地带内的建设工程，建设单位和施工单位应当制定具体措施保护周围景物、水体、植被、野生动物和地形地貌；工程竣工后，应当及时清理施工现场，恢复植被。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个人有下列违法行为之一的，由岳麓山风景名胜区管理局责令改正并给予处罚；造成损失的，依法予以赔偿；构成犯罪的，依法追究刑事责任：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（一）违反本条例规定，不在指定地点经营，破坏景观的，可处1000元罚款；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（二）违反本条例规定，猎采野生动植物、葬坟，破坏景观、植被的，可处2000元罚款；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规定，损毁或者擅自移动风景名胜区界桩、标志、标牌、坐椅、垃圾箱等公共设施，在禁火区内吸烟、野炊、烧香点烛、燃放烟花爆竹，破坏景观、植被和风景名胜资源的，处1000元以上10000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违反本条例规定的其他行为，依照《风景名胜区条例》等有关法律、法规处罚。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违反本条例规定，法律法规规定由相关行政管理部门处罚的，相关行政管理部门可以委托岳麓山风景名胜区管理局实施处罚。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违反风景名胜区规划在风景名胜区内设立开发区、度假区或者擅自修改风景名胜区规划的，对直接负责的主管人员和其他直接责任人员依法给予处分；构成犯罪的，依法追究刑事责任。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岳麓山风景名胜区管理局有下列行为之一的，由市人民政府责令改正；情节严重的，对直接负责的主管人员和其他直接责任人员给予降级或者撤职的处分；构成犯罪的，依</w:t>
      </w:r>
      <w:r>
        <w:rPr>
          <w:rFonts w:hint="eastAsia" w:ascii="仿宋" w:hAnsi="仿宋" w:eastAsia="仿宋" w:cs="仿宋"/>
          <w:sz w:val="32"/>
          <w:szCs w:val="32"/>
        </w:rPr>
        <w:t>法</w:t>
      </w:r>
      <w:r>
        <w:rPr>
          <w:rFonts w:hint="eastAsia" w:ascii="仿宋_GB2312" w:hAnsi="仿宋_GB2312" w:eastAsia="仿宋_GB2312" w:cs="仿宋_GB2312"/>
          <w:sz w:val="32"/>
          <w:szCs w:val="32"/>
        </w:rPr>
        <w:t>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（一）超过允许容量接纳游客或者在没有安全保障的区域开展游览活动的；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（二）未设置风景名胜区标志、路标和安全警示标牌的；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（四）发现违法行为不予查处的。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本条例自2007年1月1日起施行。《岳麓山风景名胜区管理办法》同时废止。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102A7"/>
    <w:rsid w:val="05097AD0"/>
    <w:rsid w:val="0AB102A7"/>
    <w:rsid w:val="10B63C0C"/>
    <w:rsid w:val="166E52DE"/>
    <w:rsid w:val="1E7F39CA"/>
    <w:rsid w:val="280A3758"/>
    <w:rsid w:val="31DD71E5"/>
    <w:rsid w:val="32417A00"/>
    <w:rsid w:val="3F2A08AE"/>
    <w:rsid w:val="6F6010DB"/>
    <w:rsid w:val="7A8C251E"/>
    <w:rsid w:val="7AF23C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2017-02-22T03:28:00Z</dcterms:created>
  <dc:creator>Administrator</dc:creator>
  <cp:lastModifiedBy>Administrator</cp:lastModifiedBy>
  <dcterms:modified xsi:type="dcterms:W3CDTF">2017-03-05T06:09:08Z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