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576" w:lineRule="exact"/>
        <w:rPr>
          <w:rFonts w:hint="eastAsia" w:asciiTheme="minorEastAsia" w:hAnsiTheme="minorEastAsia" w:eastAsiaTheme="minorEastAsia" w:cstheme="minorEastAsia"/>
          <w:sz w:val="32"/>
          <w:szCs w:val="32"/>
        </w:rPr>
      </w:pPr>
    </w:p>
    <w:p>
      <w:pPr>
        <w:adjustRightInd w:val="0"/>
        <w:snapToGrid w:val="0"/>
        <w:spacing w:line="576" w:lineRule="exact"/>
        <w:ind w:firstLine="640"/>
        <w:rPr>
          <w:rFonts w:hint="eastAsia" w:asciiTheme="minorEastAsia" w:hAnsiTheme="minorEastAsia" w:eastAsiaTheme="minorEastAsia" w:cstheme="minorEastAsia"/>
          <w:sz w:val="32"/>
          <w:szCs w:val="32"/>
        </w:rPr>
      </w:pPr>
    </w:p>
    <w:p>
      <w:pPr>
        <w:adjustRightInd w:val="0"/>
        <w:snapToGrid w:val="0"/>
        <w:spacing w:line="576" w:lineRule="exact"/>
        <w:jc w:val="center"/>
        <w:rPr>
          <w:rFonts w:hint="eastAsia" w:ascii="宋体" w:hAnsi="宋体" w:eastAsia="宋体" w:cs="宋体"/>
          <w:sz w:val="44"/>
          <w:szCs w:val="44"/>
        </w:rPr>
      </w:pPr>
      <w:r>
        <w:rPr>
          <w:rFonts w:hint="eastAsia" w:ascii="宋体" w:hAnsi="宋体" w:eastAsia="宋体" w:cs="宋体"/>
          <w:sz w:val="44"/>
          <w:szCs w:val="44"/>
        </w:rPr>
        <w:t>常德市城市河湖环境保护条例</w:t>
      </w:r>
    </w:p>
    <w:p>
      <w:pPr>
        <w:adjustRightInd w:val="0"/>
        <w:snapToGrid w:val="0"/>
        <w:spacing w:line="576" w:lineRule="exact"/>
        <w:ind w:firstLine="640"/>
        <w:rPr>
          <w:rFonts w:hint="eastAsia" w:ascii="楷体_GB2312" w:hAnsi="楷体_GB2312" w:eastAsia="楷体_GB2312" w:cs="楷体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76" w:lineRule="exact"/>
        <w:ind w:left="420" w:leftChars="200" w:right="420" w:rightChars="200" w:firstLine="0" w:firstLineChars="0"/>
        <w:jc w:val="both"/>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（2017年4月26日常德市第七届人民代表大会常务委员会第三次会议通过　</w:t>
      </w:r>
      <w:r>
        <w:rPr>
          <w:rFonts w:hint="eastAsia" w:ascii="楷体_GB2312" w:hAnsi="楷体_GB2312" w:eastAsia="楷体_GB2312" w:cs="楷体_GB2312"/>
          <w:color w:val="000000"/>
          <w:sz w:val="32"/>
          <w:szCs w:val="32"/>
          <w:lang w:val="en-US" w:eastAsia="zh-CN"/>
        </w:rPr>
        <w:t>2017年</w:t>
      </w:r>
      <w:r>
        <w:rPr>
          <w:rFonts w:hint="eastAsia" w:ascii="楷体_GB2312" w:hAnsi="楷体_GB2312" w:eastAsia="楷体_GB2312" w:cs="楷体_GB2312"/>
          <w:color w:val="000000"/>
          <w:sz w:val="32"/>
          <w:szCs w:val="32"/>
        </w:rPr>
        <w:t>5月27日湖南省</w:t>
      </w:r>
      <w:r>
        <w:rPr>
          <w:rFonts w:hint="eastAsia" w:ascii="楷体_GB2312" w:hAnsi="楷体_GB2312" w:eastAsia="楷体_GB2312" w:cs="楷体_GB2312"/>
          <w:color w:val="000000"/>
          <w:sz w:val="32"/>
          <w:szCs w:val="32"/>
          <w:lang w:val="en-US" w:eastAsia="zh-CN"/>
        </w:rPr>
        <w:t>第</w:t>
      </w:r>
      <w:r>
        <w:rPr>
          <w:rFonts w:hint="eastAsia" w:ascii="楷体_GB2312" w:hAnsi="楷体_GB2312" w:eastAsia="楷体_GB2312" w:cs="楷体_GB2312"/>
          <w:color w:val="000000"/>
          <w:sz w:val="32"/>
          <w:szCs w:val="32"/>
        </w:rPr>
        <w:t>十二</w:t>
      </w:r>
      <w:r>
        <w:rPr>
          <w:rFonts w:hint="eastAsia" w:ascii="楷体_GB2312" w:hAnsi="楷体_GB2312" w:eastAsia="楷体_GB2312" w:cs="楷体_GB2312"/>
          <w:color w:val="000000"/>
          <w:sz w:val="32"/>
          <w:szCs w:val="32"/>
          <w:lang w:val="en-US" w:eastAsia="zh-CN"/>
        </w:rPr>
        <w:t>届</w:t>
      </w:r>
      <w:r>
        <w:rPr>
          <w:rFonts w:hint="eastAsia" w:ascii="楷体_GB2312" w:hAnsi="楷体_GB2312" w:eastAsia="楷体_GB2312" w:cs="楷体_GB2312"/>
          <w:color w:val="000000"/>
          <w:sz w:val="32"/>
          <w:szCs w:val="32"/>
        </w:rPr>
        <w:t>人民代表大会常务委员会第三十次会议批准）</w:t>
      </w:r>
    </w:p>
    <w:p>
      <w:pPr>
        <w:adjustRightInd w:val="0"/>
        <w:snapToGrid w:val="0"/>
        <w:spacing w:line="576" w:lineRule="exact"/>
        <w:ind w:firstLine="640"/>
        <w:rPr>
          <w:rFonts w:hint="eastAsia" w:ascii="楷体_GB2312" w:hAnsi="楷体_GB2312" w:eastAsia="楷体_GB2312" w:cs="楷体_GB2312"/>
          <w:sz w:val="32"/>
          <w:szCs w:val="32"/>
        </w:rPr>
      </w:pPr>
    </w:p>
    <w:p>
      <w:pPr>
        <w:pStyle w:val="3"/>
        <w:widowControl w:val="0"/>
        <w:shd w:val="clear" w:color="auto" w:fill="FFFFFF"/>
        <w:adjustRightInd w:val="0"/>
        <w:snapToGrid w:val="0"/>
        <w:spacing w:before="0" w:beforeAutospacing="0" w:after="0" w:afterAutospacing="0" w:line="576" w:lineRule="exact"/>
        <w:jc w:val="center"/>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录</w:t>
      </w:r>
    </w:p>
    <w:p>
      <w:pPr>
        <w:adjustRightInd w:val="0"/>
        <w:snapToGrid w:val="0"/>
        <w:spacing w:line="576" w:lineRule="exact"/>
        <w:ind w:firstLine="640"/>
        <w:rPr>
          <w:rFonts w:hint="eastAsia" w:ascii="楷体_GB2312" w:hAnsi="楷体_GB2312" w:eastAsia="楷体_GB2312" w:cs="楷体_GB2312"/>
          <w:sz w:val="32"/>
          <w:szCs w:val="32"/>
        </w:rPr>
      </w:pPr>
    </w:p>
    <w:p>
      <w:pPr>
        <w:pStyle w:val="3"/>
        <w:widowControl w:val="0"/>
        <w:shd w:val="clear" w:color="auto" w:fill="FFFFFF"/>
        <w:adjustRightInd w:val="0"/>
        <w:snapToGrid w:val="0"/>
        <w:spacing w:before="0" w:beforeAutospacing="0" w:after="0" w:afterAutospacing="0" w:line="576" w:lineRule="exact"/>
        <w:jc w:val="both"/>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第一章  总则</w:t>
      </w:r>
    </w:p>
    <w:p>
      <w:pPr>
        <w:pStyle w:val="3"/>
        <w:widowControl w:val="0"/>
        <w:shd w:val="clear" w:color="auto" w:fill="FFFFFF"/>
        <w:adjustRightInd w:val="0"/>
        <w:snapToGrid w:val="0"/>
        <w:spacing w:before="0" w:beforeAutospacing="0" w:after="0" w:afterAutospacing="0" w:line="576" w:lineRule="exact"/>
        <w:jc w:val="both"/>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第二章  规划的制定和实施</w:t>
      </w:r>
    </w:p>
    <w:p>
      <w:pPr>
        <w:pStyle w:val="3"/>
        <w:widowControl w:val="0"/>
        <w:shd w:val="clear" w:color="auto" w:fill="FFFFFF"/>
        <w:adjustRightInd w:val="0"/>
        <w:snapToGrid w:val="0"/>
        <w:spacing w:before="0" w:beforeAutospacing="0" w:after="0" w:afterAutospacing="0" w:line="576" w:lineRule="exact"/>
        <w:jc w:val="both"/>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第三章  保护措施</w:t>
      </w:r>
    </w:p>
    <w:p>
      <w:pPr>
        <w:pStyle w:val="3"/>
        <w:widowControl w:val="0"/>
        <w:shd w:val="clear" w:color="auto" w:fill="FFFFFF"/>
        <w:adjustRightInd w:val="0"/>
        <w:snapToGrid w:val="0"/>
        <w:spacing w:before="0" w:beforeAutospacing="0" w:after="0" w:afterAutospacing="0" w:line="576" w:lineRule="exact"/>
        <w:jc w:val="both"/>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第四章  监督管理</w:t>
      </w:r>
    </w:p>
    <w:p>
      <w:pPr>
        <w:pStyle w:val="3"/>
        <w:widowControl w:val="0"/>
        <w:shd w:val="clear" w:color="auto" w:fill="FFFFFF"/>
        <w:adjustRightInd w:val="0"/>
        <w:snapToGrid w:val="0"/>
        <w:spacing w:before="0" w:beforeAutospacing="0" w:after="0" w:afterAutospacing="0" w:line="576" w:lineRule="exact"/>
        <w:jc w:val="both"/>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第五章  法律责任</w:t>
      </w:r>
    </w:p>
    <w:p>
      <w:pPr>
        <w:pStyle w:val="3"/>
        <w:widowControl w:val="0"/>
        <w:shd w:val="clear" w:color="auto" w:fill="FFFFFF"/>
        <w:adjustRightInd w:val="0"/>
        <w:snapToGrid w:val="0"/>
        <w:spacing w:before="0" w:beforeAutospacing="0" w:after="0" w:afterAutospacing="0" w:line="576" w:lineRule="exact"/>
        <w:jc w:val="both"/>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第六章  附则</w:t>
      </w:r>
    </w:p>
    <w:p>
      <w:pPr>
        <w:pStyle w:val="3"/>
        <w:widowControl w:val="0"/>
        <w:shd w:val="clear" w:color="auto" w:fill="FFFFFF"/>
        <w:adjustRightInd w:val="0"/>
        <w:snapToGrid w:val="0"/>
        <w:spacing w:before="0" w:beforeAutospacing="0" w:after="0" w:afterAutospacing="0" w:line="576" w:lineRule="exact"/>
        <w:jc w:val="center"/>
        <w:rPr>
          <w:rFonts w:hint="eastAsia" w:ascii="黑体" w:hAnsi="黑体" w:eastAsia="黑体" w:cs="黑体"/>
          <w:spacing w:val="-6"/>
          <w:sz w:val="32"/>
          <w:szCs w:val="32"/>
        </w:rPr>
      </w:pPr>
    </w:p>
    <w:p>
      <w:pPr>
        <w:pStyle w:val="3"/>
        <w:widowControl w:val="0"/>
        <w:shd w:val="clear" w:color="auto" w:fill="FFFFFF"/>
        <w:adjustRightInd w:val="0"/>
        <w:snapToGrid w:val="0"/>
        <w:spacing w:before="0" w:beforeAutospacing="0" w:after="0" w:afterAutospacing="0" w:line="576" w:lineRule="exact"/>
        <w:jc w:val="center"/>
        <w:rPr>
          <w:rFonts w:hint="eastAsia" w:ascii="黑体" w:hAnsi="黑体" w:eastAsia="黑体" w:cs="黑体"/>
          <w:spacing w:val="-6"/>
          <w:sz w:val="32"/>
          <w:szCs w:val="32"/>
        </w:rPr>
      </w:pPr>
      <w:r>
        <w:rPr>
          <w:rFonts w:hint="eastAsia" w:ascii="黑体" w:hAnsi="黑体" w:eastAsia="黑体" w:cs="黑体"/>
          <w:spacing w:val="-6"/>
          <w:sz w:val="32"/>
          <w:szCs w:val="32"/>
        </w:rPr>
        <w:t xml:space="preserve">第一章 </w:t>
      </w:r>
      <w:r>
        <w:rPr>
          <w:rFonts w:hint="eastAsia" w:ascii="黑体" w:hAnsi="黑体" w:eastAsia="黑体" w:cs="黑体"/>
          <w:spacing w:val="-6"/>
          <w:sz w:val="32"/>
          <w:szCs w:val="32"/>
          <w:lang w:val="en-US" w:eastAsia="zh-CN"/>
        </w:rPr>
        <w:t xml:space="preserve"> </w:t>
      </w:r>
      <w:r>
        <w:rPr>
          <w:rFonts w:hint="eastAsia" w:ascii="黑体" w:hAnsi="黑体" w:eastAsia="黑体" w:cs="黑体"/>
          <w:spacing w:val="-6"/>
          <w:sz w:val="32"/>
          <w:szCs w:val="32"/>
        </w:rPr>
        <w:t>总则</w:t>
      </w:r>
    </w:p>
    <w:p>
      <w:pPr>
        <w:pStyle w:val="3"/>
        <w:widowControl w:val="0"/>
        <w:shd w:val="clear" w:color="auto" w:fill="FFFFFF"/>
        <w:adjustRightInd w:val="0"/>
        <w:snapToGrid w:val="0"/>
        <w:spacing w:before="0" w:beforeAutospacing="0" w:after="0" w:afterAutospacing="0" w:line="576" w:lineRule="exact"/>
        <w:jc w:val="center"/>
        <w:rPr>
          <w:rFonts w:hint="eastAsia" w:ascii="黑体" w:hAnsi="黑体" w:eastAsia="黑体" w:cs="黑体"/>
          <w:spacing w:val="-6"/>
          <w:sz w:val="32"/>
          <w:szCs w:val="32"/>
        </w:rPr>
      </w:pPr>
    </w:p>
    <w:p>
      <w:pPr>
        <w:adjustRightInd w:val="0"/>
        <w:snapToGrid w:val="0"/>
        <w:spacing w:line="576" w:lineRule="exact"/>
        <w:ind w:firstLine="616" w:firstLineChars="200"/>
        <w:rPr>
          <w:rFonts w:hint="eastAsia" w:ascii="仿宋_GB2312" w:hAnsi="仿宋_GB2312" w:eastAsia="仿宋_GB2312" w:cs="仿宋_GB2312"/>
          <w:spacing w:val="-6"/>
          <w:sz w:val="32"/>
          <w:szCs w:val="32"/>
        </w:rPr>
      </w:pPr>
      <w:r>
        <w:rPr>
          <w:rFonts w:hint="eastAsia" w:ascii="黑体" w:hAnsi="黑体" w:eastAsia="黑体" w:cs="黑体"/>
          <w:spacing w:val="-6"/>
          <w:sz w:val="32"/>
          <w:szCs w:val="32"/>
        </w:rPr>
        <w:t xml:space="preserve">第一条 </w:t>
      </w:r>
      <w:r>
        <w:rPr>
          <w:rFonts w:hint="eastAsia" w:ascii="黑体" w:hAnsi="黑体" w:eastAsia="黑体" w:cs="黑体"/>
          <w:spacing w:val="-6"/>
          <w:sz w:val="32"/>
          <w:szCs w:val="32"/>
          <w:lang w:val="en-US" w:eastAsia="zh-CN"/>
        </w:rPr>
        <w:t xml:space="preserve"> </w:t>
      </w:r>
      <w:r>
        <w:rPr>
          <w:rFonts w:hint="eastAsia" w:ascii="仿宋_GB2312" w:hAnsi="仿宋_GB2312" w:eastAsia="仿宋_GB2312" w:cs="仿宋_GB2312"/>
          <w:spacing w:val="-6"/>
          <w:sz w:val="32"/>
          <w:szCs w:val="32"/>
        </w:rPr>
        <w:t>为了保护城市河湖生态环境，根据《中华人民共和国环境保护法》、《中华人民共和国水污染防治法》、《中华人民共和国水法》、《中华人民共和国城乡规划法》等法律法规，结合本市实际，制定本条例。</w:t>
      </w:r>
    </w:p>
    <w:p>
      <w:pPr>
        <w:adjustRightInd w:val="0"/>
        <w:snapToGrid w:val="0"/>
        <w:spacing w:line="576" w:lineRule="exact"/>
        <w:ind w:firstLine="616" w:firstLineChars="200"/>
        <w:rPr>
          <w:rFonts w:hint="eastAsia" w:ascii="仿宋_GB2312" w:hAnsi="仿宋_GB2312" w:eastAsia="仿宋_GB2312" w:cs="仿宋_GB2312"/>
          <w:spacing w:val="-6"/>
          <w:sz w:val="32"/>
          <w:szCs w:val="32"/>
        </w:rPr>
      </w:pPr>
      <w:r>
        <w:rPr>
          <w:rFonts w:hint="eastAsia" w:ascii="黑体" w:hAnsi="黑体" w:eastAsia="黑体" w:cs="黑体"/>
          <w:spacing w:val="-6"/>
          <w:sz w:val="32"/>
          <w:szCs w:val="32"/>
        </w:rPr>
        <w:t>第二条</w:t>
      </w:r>
      <w:r>
        <w:rPr>
          <w:rFonts w:hint="eastAsia" w:ascii="黑体" w:hAnsi="黑体" w:eastAsia="黑体" w:cs="黑体"/>
          <w:spacing w:val="-6"/>
          <w:sz w:val="32"/>
          <w:szCs w:val="32"/>
          <w:lang w:val="en-US" w:eastAsia="zh-CN"/>
        </w:rPr>
        <w:t xml:space="preserve"> </w:t>
      </w:r>
      <w:r>
        <w:rPr>
          <w:rFonts w:hint="eastAsia" w:ascii="仿宋_GB2312" w:hAnsi="仿宋_GB2312" w:eastAsia="仿宋_GB2312" w:cs="仿宋_GB2312"/>
          <w:spacing w:val="-6"/>
          <w:sz w:val="32"/>
          <w:szCs w:val="32"/>
        </w:rPr>
        <w:t xml:space="preserve"> 本条例适用于常德市城市总体规划确定的城市规划区范围内的江、河、湖、库、渠、湿地等地表水体的环境保护。</w:t>
      </w:r>
    </w:p>
    <w:p>
      <w:pPr>
        <w:adjustRightInd w:val="0"/>
        <w:snapToGrid w:val="0"/>
        <w:spacing w:line="576" w:lineRule="exact"/>
        <w:ind w:firstLine="616" w:firstLineChars="200"/>
        <w:rPr>
          <w:rFonts w:hint="eastAsia" w:ascii="仿宋_GB2312" w:hAnsi="仿宋_GB2312" w:eastAsia="仿宋_GB2312" w:cs="仿宋_GB2312"/>
          <w:spacing w:val="-6"/>
          <w:sz w:val="32"/>
          <w:szCs w:val="32"/>
        </w:rPr>
      </w:pPr>
      <w:r>
        <w:rPr>
          <w:rFonts w:hint="eastAsia" w:ascii="黑体" w:hAnsi="黑体" w:eastAsia="黑体" w:cs="黑体"/>
          <w:spacing w:val="-6"/>
          <w:sz w:val="32"/>
          <w:szCs w:val="32"/>
        </w:rPr>
        <w:t>第三条</w:t>
      </w:r>
      <w:r>
        <w:rPr>
          <w:rFonts w:hint="eastAsia" w:ascii="仿宋_GB2312" w:hAnsi="仿宋_GB2312" w:eastAsia="仿宋_GB2312" w:cs="仿宋_GB2312"/>
          <w:spacing w:val="-6"/>
          <w:sz w:val="32"/>
          <w:szCs w:val="32"/>
        </w:rPr>
        <w:t xml:space="preserve"> </w:t>
      </w:r>
      <w:r>
        <w:rPr>
          <w:rFonts w:hint="eastAsia" w:ascii="仿宋_GB2312" w:hAnsi="仿宋_GB2312" w:eastAsia="仿宋_GB2312" w:cs="仿宋_GB2312"/>
          <w:spacing w:val="-6"/>
          <w:sz w:val="32"/>
          <w:szCs w:val="32"/>
          <w:lang w:val="en-US" w:eastAsia="zh-CN"/>
        </w:rPr>
        <w:t xml:space="preserve"> </w:t>
      </w:r>
      <w:r>
        <w:rPr>
          <w:rFonts w:hint="eastAsia" w:ascii="仿宋_GB2312" w:hAnsi="仿宋_GB2312" w:eastAsia="仿宋_GB2312" w:cs="仿宋_GB2312"/>
          <w:spacing w:val="-6"/>
          <w:sz w:val="32"/>
          <w:szCs w:val="32"/>
        </w:rPr>
        <w:t>城市河湖环境保护应当遵循保护优先、统一规划、综合治理、合理利用的原则。</w:t>
      </w:r>
    </w:p>
    <w:p>
      <w:pPr>
        <w:adjustRightInd w:val="0"/>
        <w:snapToGrid w:val="0"/>
        <w:spacing w:line="576" w:lineRule="exact"/>
        <w:ind w:firstLine="616" w:firstLineChars="200"/>
        <w:rPr>
          <w:rFonts w:hint="eastAsia" w:ascii="仿宋_GB2312" w:hAnsi="仿宋_GB2312" w:eastAsia="仿宋_GB2312" w:cs="仿宋_GB2312"/>
          <w:spacing w:val="-6"/>
          <w:sz w:val="32"/>
          <w:szCs w:val="32"/>
        </w:rPr>
      </w:pPr>
      <w:r>
        <w:rPr>
          <w:rFonts w:hint="eastAsia" w:ascii="黑体" w:hAnsi="黑体" w:eastAsia="黑体" w:cs="黑体"/>
          <w:spacing w:val="-6"/>
          <w:sz w:val="32"/>
          <w:szCs w:val="32"/>
        </w:rPr>
        <w:t>第四条</w:t>
      </w:r>
      <w:r>
        <w:rPr>
          <w:rFonts w:hint="eastAsia" w:ascii="仿宋_GB2312" w:hAnsi="仿宋_GB2312" w:eastAsia="仿宋_GB2312" w:cs="仿宋_GB2312"/>
          <w:spacing w:val="-6"/>
          <w:sz w:val="32"/>
          <w:szCs w:val="32"/>
        </w:rPr>
        <w:t xml:space="preserve"> </w:t>
      </w:r>
      <w:r>
        <w:rPr>
          <w:rFonts w:hint="eastAsia" w:ascii="仿宋_GB2312" w:hAnsi="仿宋_GB2312" w:eastAsia="仿宋_GB2312" w:cs="仿宋_GB2312"/>
          <w:spacing w:val="-6"/>
          <w:sz w:val="32"/>
          <w:szCs w:val="32"/>
          <w:lang w:val="en-US" w:eastAsia="zh-CN"/>
        </w:rPr>
        <w:t xml:space="preserve"> </w:t>
      </w:r>
      <w:r>
        <w:rPr>
          <w:rFonts w:hint="eastAsia" w:ascii="仿宋_GB2312" w:hAnsi="仿宋_GB2312" w:eastAsia="仿宋_GB2312" w:cs="仿宋_GB2312"/>
          <w:spacing w:val="-6"/>
          <w:sz w:val="32"/>
          <w:szCs w:val="32"/>
        </w:rPr>
        <w:t>城市河湖环境保护工作实行属地管理。市、区人民政府应当设立议事协调机构，统筹协调城市河湖环境保护工作中规划、管理、执法等方面的重大事项。市、区、乡（镇）人民政府和街道办事处应当明确主要负责人担任本行政区域内河湖的河长、湖长，并建立责任制。</w:t>
      </w:r>
    </w:p>
    <w:p>
      <w:pPr>
        <w:adjustRightInd w:val="0"/>
        <w:snapToGrid w:val="0"/>
        <w:spacing w:line="576" w:lineRule="exact"/>
        <w:ind w:firstLine="616" w:firstLineChars="200"/>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常德经济技术开发区、柳叶湖旅游度假区管辖区域内城市河湖环境保护工作由市人民政府委托其管理委员会统一管理和监督。</w:t>
      </w:r>
    </w:p>
    <w:p>
      <w:pPr>
        <w:adjustRightInd w:val="0"/>
        <w:snapToGrid w:val="0"/>
        <w:spacing w:line="576" w:lineRule="exact"/>
        <w:ind w:firstLine="616" w:firstLineChars="200"/>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村（居）民委员会协助做好城市河湖的水面保洁工作，引导村（居）民自觉保持河湖水面及周边的环境卫生。</w:t>
      </w:r>
    </w:p>
    <w:p>
      <w:pPr>
        <w:adjustRightInd w:val="0"/>
        <w:snapToGrid w:val="0"/>
        <w:spacing w:line="576" w:lineRule="exact"/>
        <w:ind w:firstLine="616" w:firstLineChars="200"/>
        <w:rPr>
          <w:rFonts w:hint="eastAsia" w:ascii="仿宋_GB2312" w:hAnsi="仿宋_GB2312" w:eastAsia="仿宋_GB2312" w:cs="仿宋_GB2312"/>
          <w:spacing w:val="-6"/>
          <w:sz w:val="32"/>
          <w:szCs w:val="32"/>
        </w:rPr>
      </w:pPr>
      <w:r>
        <w:rPr>
          <w:rFonts w:hint="eastAsia" w:ascii="黑体" w:hAnsi="黑体" w:eastAsia="黑体" w:cs="黑体"/>
          <w:spacing w:val="-6"/>
          <w:sz w:val="32"/>
          <w:szCs w:val="32"/>
        </w:rPr>
        <w:t>第五条</w:t>
      </w:r>
      <w:r>
        <w:rPr>
          <w:rFonts w:hint="eastAsia" w:ascii="仿宋_GB2312" w:hAnsi="仿宋_GB2312" w:eastAsia="仿宋_GB2312" w:cs="仿宋_GB2312"/>
          <w:spacing w:val="-6"/>
          <w:sz w:val="32"/>
          <w:szCs w:val="32"/>
        </w:rPr>
        <w:t xml:space="preserve"> </w:t>
      </w:r>
      <w:r>
        <w:rPr>
          <w:rFonts w:hint="eastAsia" w:ascii="仿宋_GB2312" w:hAnsi="仿宋_GB2312" w:eastAsia="仿宋_GB2312" w:cs="仿宋_GB2312"/>
          <w:spacing w:val="-6"/>
          <w:sz w:val="32"/>
          <w:szCs w:val="32"/>
          <w:lang w:val="en-US" w:eastAsia="zh-CN"/>
        </w:rPr>
        <w:t xml:space="preserve"> </w:t>
      </w:r>
      <w:r>
        <w:rPr>
          <w:rFonts w:hint="eastAsia" w:ascii="仿宋_GB2312" w:hAnsi="仿宋_GB2312" w:eastAsia="仿宋_GB2312" w:cs="仿宋_GB2312"/>
          <w:spacing w:val="-6"/>
          <w:sz w:val="32"/>
          <w:szCs w:val="32"/>
        </w:rPr>
        <w:t>市、区人民政府（管理委员会）环境保护部门主管本行政区域内城市河湖环境保护监督管理工作。</w:t>
      </w:r>
    </w:p>
    <w:p>
      <w:pPr>
        <w:adjustRightInd w:val="0"/>
        <w:snapToGrid w:val="0"/>
        <w:spacing w:line="576" w:lineRule="exact"/>
        <w:ind w:firstLine="616" w:firstLineChars="200"/>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住房和城乡建设、规划、城市管理、水行政、交通运输、农业、林业、发展和改革、国土资源、食品药品监督管理、卫生和计划生育、工商、财政、公安、监察等部门，依据各自职责，做好城市河湖环境保护工作。</w:t>
      </w:r>
    </w:p>
    <w:p>
      <w:pPr>
        <w:adjustRightInd w:val="0"/>
        <w:snapToGrid w:val="0"/>
        <w:spacing w:line="576" w:lineRule="exact"/>
        <w:ind w:firstLine="616" w:firstLineChars="200"/>
        <w:rPr>
          <w:rFonts w:hint="eastAsia" w:ascii="仿宋_GB2312" w:hAnsi="仿宋_GB2312" w:eastAsia="仿宋_GB2312" w:cs="仿宋_GB2312"/>
          <w:spacing w:val="-6"/>
          <w:sz w:val="32"/>
          <w:szCs w:val="32"/>
        </w:rPr>
      </w:pPr>
      <w:r>
        <w:rPr>
          <w:rFonts w:hint="eastAsia" w:ascii="黑体" w:hAnsi="黑体" w:eastAsia="黑体" w:cs="黑体"/>
          <w:spacing w:val="-6"/>
          <w:sz w:val="32"/>
          <w:szCs w:val="32"/>
        </w:rPr>
        <w:t>第六条</w:t>
      </w:r>
      <w:r>
        <w:rPr>
          <w:rFonts w:hint="eastAsia" w:ascii="仿宋_GB2312" w:hAnsi="仿宋_GB2312" w:eastAsia="仿宋_GB2312" w:cs="仿宋_GB2312"/>
          <w:spacing w:val="-6"/>
          <w:sz w:val="32"/>
          <w:szCs w:val="32"/>
        </w:rPr>
        <w:t xml:space="preserve"> </w:t>
      </w:r>
      <w:r>
        <w:rPr>
          <w:rFonts w:hint="eastAsia" w:ascii="仿宋_GB2312" w:hAnsi="仿宋_GB2312" w:eastAsia="仿宋_GB2312" w:cs="仿宋_GB2312"/>
          <w:spacing w:val="-6"/>
          <w:sz w:val="32"/>
          <w:szCs w:val="32"/>
          <w:lang w:val="en-US" w:eastAsia="zh-CN"/>
        </w:rPr>
        <w:t xml:space="preserve"> </w:t>
      </w:r>
      <w:r>
        <w:rPr>
          <w:rFonts w:hint="eastAsia" w:ascii="仿宋_GB2312" w:hAnsi="仿宋_GB2312" w:eastAsia="仿宋_GB2312" w:cs="仿宋_GB2312"/>
          <w:spacing w:val="-6"/>
          <w:sz w:val="32"/>
          <w:szCs w:val="32"/>
        </w:rPr>
        <w:t>市、区人民政府（管理委员会）应当建立和完善城市河湖环境保护财政投入机制，支持和鼓励社会资本参与城市河湖环境保护工作。</w:t>
      </w:r>
    </w:p>
    <w:p>
      <w:pPr>
        <w:adjustRightInd w:val="0"/>
        <w:snapToGrid w:val="0"/>
        <w:spacing w:line="576" w:lineRule="exact"/>
        <w:ind w:firstLine="616" w:firstLineChars="200"/>
        <w:rPr>
          <w:rFonts w:hint="eastAsia" w:ascii="仿宋_GB2312" w:hAnsi="仿宋_GB2312" w:eastAsia="仿宋_GB2312" w:cs="仿宋_GB2312"/>
          <w:spacing w:val="-6"/>
          <w:sz w:val="32"/>
          <w:szCs w:val="32"/>
        </w:rPr>
      </w:pPr>
      <w:r>
        <w:rPr>
          <w:rFonts w:hint="eastAsia" w:ascii="黑体" w:hAnsi="黑体" w:eastAsia="黑体" w:cs="黑体"/>
          <w:spacing w:val="-6"/>
          <w:sz w:val="32"/>
          <w:szCs w:val="32"/>
        </w:rPr>
        <w:t>第七条</w:t>
      </w:r>
      <w:r>
        <w:rPr>
          <w:rFonts w:hint="eastAsia" w:ascii="仿宋_GB2312" w:hAnsi="仿宋_GB2312" w:eastAsia="仿宋_GB2312" w:cs="仿宋_GB2312"/>
          <w:spacing w:val="-6"/>
          <w:sz w:val="32"/>
          <w:szCs w:val="32"/>
        </w:rPr>
        <w:t xml:space="preserve"> </w:t>
      </w:r>
      <w:r>
        <w:rPr>
          <w:rFonts w:hint="eastAsia" w:ascii="仿宋_GB2312" w:hAnsi="仿宋_GB2312" w:eastAsia="仿宋_GB2312" w:cs="仿宋_GB2312"/>
          <w:spacing w:val="-6"/>
          <w:sz w:val="32"/>
          <w:szCs w:val="32"/>
          <w:lang w:val="en-US" w:eastAsia="zh-CN"/>
        </w:rPr>
        <w:t xml:space="preserve"> </w:t>
      </w:r>
      <w:r>
        <w:rPr>
          <w:rFonts w:hint="eastAsia" w:ascii="仿宋_GB2312" w:hAnsi="仿宋_GB2312" w:eastAsia="仿宋_GB2312" w:cs="仿宋_GB2312"/>
          <w:spacing w:val="-6"/>
          <w:sz w:val="32"/>
          <w:szCs w:val="32"/>
        </w:rPr>
        <w:t>市、区人民政府（管理委员会）及有关部门（机构）和新闻媒体应当加强河湖环境保护的宣传教育，引导公民、法人和其他社会组织参与河湖环境保护的有关活动，对侵害河湖环境的违法行为及时向社会公布。</w:t>
      </w:r>
    </w:p>
    <w:p>
      <w:pPr>
        <w:adjustRightInd w:val="0"/>
        <w:snapToGrid w:val="0"/>
        <w:spacing w:line="576" w:lineRule="exact"/>
        <w:ind w:firstLine="616" w:firstLineChars="200"/>
        <w:rPr>
          <w:rFonts w:hint="eastAsia" w:ascii="仿宋_GB2312" w:hAnsi="仿宋_GB2312" w:eastAsia="仿宋_GB2312" w:cs="仿宋_GB2312"/>
          <w:spacing w:val="-6"/>
          <w:sz w:val="32"/>
          <w:szCs w:val="32"/>
        </w:rPr>
      </w:pPr>
      <w:r>
        <w:rPr>
          <w:rFonts w:hint="eastAsia" w:ascii="黑体" w:hAnsi="黑体" w:eastAsia="黑体" w:cs="黑体"/>
          <w:spacing w:val="-6"/>
          <w:sz w:val="32"/>
          <w:szCs w:val="32"/>
        </w:rPr>
        <w:t>第八条</w:t>
      </w:r>
      <w:r>
        <w:rPr>
          <w:rFonts w:hint="eastAsia" w:ascii="仿宋_GB2312" w:hAnsi="仿宋_GB2312" w:eastAsia="仿宋_GB2312" w:cs="仿宋_GB2312"/>
          <w:spacing w:val="-6"/>
          <w:sz w:val="32"/>
          <w:szCs w:val="32"/>
        </w:rPr>
        <w:t xml:space="preserve"> </w:t>
      </w:r>
      <w:r>
        <w:rPr>
          <w:rFonts w:hint="eastAsia" w:ascii="仿宋_GB2312" w:hAnsi="仿宋_GB2312" w:eastAsia="仿宋_GB2312" w:cs="仿宋_GB2312"/>
          <w:spacing w:val="-6"/>
          <w:sz w:val="32"/>
          <w:szCs w:val="32"/>
          <w:lang w:val="en-US" w:eastAsia="zh-CN"/>
        </w:rPr>
        <w:t xml:space="preserve"> </w:t>
      </w:r>
      <w:r>
        <w:rPr>
          <w:rFonts w:hint="eastAsia" w:ascii="仿宋_GB2312" w:hAnsi="仿宋_GB2312" w:eastAsia="仿宋_GB2312" w:cs="仿宋_GB2312"/>
          <w:spacing w:val="-6"/>
          <w:sz w:val="32"/>
          <w:szCs w:val="32"/>
        </w:rPr>
        <w:t>任何单位和个人都有保护城市河湖环境的义务。机关、企事业单位和社会团体应当支持和鼓励公众参与城市河湖环境保护的宣传、巡查和监督等工作，依法支持因城市河湖环境污染或者环境破坏而受到损害的单位或者个人向人民法院提起诉讼。</w:t>
      </w:r>
    </w:p>
    <w:p>
      <w:pPr>
        <w:adjustRightInd w:val="0"/>
        <w:snapToGrid w:val="0"/>
        <w:spacing w:line="576" w:lineRule="exact"/>
        <w:ind w:firstLine="616" w:firstLineChars="200"/>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环境保护、住房和城乡建设、规划、城市管理、水行政等部门应当接受相关投诉、举报，及时查处。对举报违法填占河湖、污染水体等危害城市河湖环境的违法行为查证属实的，由市、区人民政府（管理委员会）给予奖励。</w:t>
      </w:r>
    </w:p>
    <w:p>
      <w:pPr>
        <w:pStyle w:val="3"/>
        <w:widowControl w:val="0"/>
        <w:shd w:val="clear" w:color="auto" w:fill="FFFFFF"/>
        <w:adjustRightInd w:val="0"/>
        <w:snapToGrid w:val="0"/>
        <w:spacing w:before="0" w:beforeAutospacing="0" w:after="0" w:afterAutospacing="0" w:line="576" w:lineRule="exact"/>
        <w:jc w:val="center"/>
        <w:rPr>
          <w:rFonts w:hint="eastAsia" w:ascii="黑体" w:hAnsi="黑体" w:eastAsia="黑体" w:cs="黑体"/>
          <w:spacing w:val="-6"/>
          <w:sz w:val="32"/>
          <w:szCs w:val="32"/>
        </w:rPr>
      </w:pPr>
    </w:p>
    <w:p>
      <w:pPr>
        <w:pStyle w:val="3"/>
        <w:widowControl w:val="0"/>
        <w:shd w:val="clear" w:color="auto" w:fill="FFFFFF"/>
        <w:adjustRightInd w:val="0"/>
        <w:snapToGrid w:val="0"/>
        <w:spacing w:before="0" w:beforeAutospacing="0" w:after="0" w:afterAutospacing="0" w:line="576" w:lineRule="exact"/>
        <w:jc w:val="center"/>
        <w:rPr>
          <w:rFonts w:hint="eastAsia" w:ascii="黑体" w:hAnsi="黑体" w:eastAsia="黑体" w:cs="黑体"/>
          <w:spacing w:val="-6"/>
          <w:sz w:val="32"/>
          <w:szCs w:val="32"/>
        </w:rPr>
      </w:pPr>
      <w:r>
        <w:rPr>
          <w:rFonts w:hint="eastAsia" w:ascii="黑体" w:hAnsi="黑体" w:eastAsia="黑体" w:cs="黑体"/>
          <w:spacing w:val="-6"/>
          <w:sz w:val="32"/>
          <w:szCs w:val="32"/>
        </w:rPr>
        <w:t>第二章</w:t>
      </w:r>
      <w:r>
        <w:rPr>
          <w:rFonts w:hint="eastAsia" w:ascii="黑体" w:hAnsi="黑体" w:eastAsia="黑体" w:cs="黑体"/>
          <w:spacing w:val="-6"/>
          <w:sz w:val="32"/>
          <w:szCs w:val="32"/>
          <w:lang w:val="en-US" w:eastAsia="zh-CN"/>
        </w:rPr>
        <w:t xml:space="preserve"> </w:t>
      </w:r>
      <w:r>
        <w:rPr>
          <w:rFonts w:hint="eastAsia" w:ascii="黑体" w:hAnsi="黑体" w:eastAsia="黑体" w:cs="黑体"/>
          <w:spacing w:val="-6"/>
          <w:sz w:val="32"/>
          <w:szCs w:val="32"/>
        </w:rPr>
        <w:t xml:space="preserve"> 规划的制定和实施</w:t>
      </w:r>
    </w:p>
    <w:p>
      <w:pPr>
        <w:pStyle w:val="3"/>
        <w:widowControl w:val="0"/>
        <w:shd w:val="clear" w:color="auto" w:fill="FFFFFF"/>
        <w:adjustRightInd w:val="0"/>
        <w:snapToGrid w:val="0"/>
        <w:spacing w:before="0" w:beforeAutospacing="0" w:after="0" w:afterAutospacing="0" w:line="576" w:lineRule="exact"/>
        <w:jc w:val="center"/>
        <w:rPr>
          <w:rFonts w:hint="eastAsia" w:ascii="黑体" w:hAnsi="黑体" w:eastAsia="黑体" w:cs="黑体"/>
          <w:spacing w:val="-6"/>
          <w:sz w:val="32"/>
          <w:szCs w:val="32"/>
        </w:rPr>
      </w:pPr>
    </w:p>
    <w:p>
      <w:pPr>
        <w:adjustRightInd w:val="0"/>
        <w:snapToGrid w:val="0"/>
        <w:spacing w:line="576" w:lineRule="exact"/>
        <w:ind w:firstLine="616" w:firstLineChars="200"/>
        <w:rPr>
          <w:rFonts w:hint="eastAsia" w:ascii="仿宋_GB2312" w:hAnsi="仿宋_GB2312" w:eastAsia="仿宋_GB2312" w:cs="仿宋_GB2312"/>
          <w:spacing w:val="-6"/>
          <w:sz w:val="32"/>
          <w:szCs w:val="32"/>
        </w:rPr>
      </w:pPr>
      <w:r>
        <w:rPr>
          <w:rFonts w:hint="eastAsia" w:ascii="黑体" w:hAnsi="黑体" w:eastAsia="黑体" w:cs="黑体"/>
          <w:spacing w:val="-6"/>
          <w:sz w:val="32"/>
          <w:szCs w:val="32"/>
        </w:rPr>
        <w:t>第九条</w:t>
      </w:r>
      <w:r>
        <w:rPr>
          <w:rFonts w:hint="eastAsia" w:ascii="仿宋_GB2312" w:hAnsi="仿宋_GB2312" w:eastAsia="仿宋_GB2312" w:cs="仿宋_GB2312"/>
          <w:spacing w:val="-6"/>
          <w:sz w:val="32"/>
          <w:szCs w:val="32"/>
        </w:rPr>
        <w:t xml:space="preserve"> </w:t>
      </w:r>
      <w:r>
        <w:rPr>
          <w:rFonts w:hint="eastAsia" w:ascii="仿宋_GB2312" w:hAnsi="仿宋_GB2312" w:eastAsia="仿宋_GB2312" w:cs="仿宋_GB2312"/>
          <w:spacing w:val="-6"/>
          <w:sz w:val="32"/>
          <w:szCs w:val="32"/>
          <w:lang w:val="en-US" w:eastAsia="zh-CN"/>
        </w:rPr>
        <w:t xml:space="preserve"> </w:t>
      </w:r>
      <w:r>
        <w:rPr>
          <w:rFonts w:hint="eastAsia" w:ascii="仿宋_GB2312" w:hAnsi="仿宋_GB2312" w:eastAsia="仿宋_GB2312" w:cs="仿宋_GB2312"/>
          <w:spacing w:val="-6"/>
          <w:sz w:val="32"/>
          <w:szCs w:val="32"/>
        </w:rPr>
        <w:t>城市总体规划和土地利用总体规划应当包括城市河湖环境保护的内容。</w:t>
      </w:r>
    </w:p>
    <w:p>
      <w:pPr>
        <w:adjustRightInd w:val="0"/>
        <w:snapToGrid w:val="0"/>
        <w:spacing w:line="576" w:lineRule="exact"/>
        <w:ind w:firstLine="616" w:firstLineChars="200"/>
        <w:rPr>
          <w:rFonts w:hint="eastAsia" w:ascii="仿宋_GB2312" w:hAnsi="仿宋_GB2312" w:eastAsia="仿宋_GB2312" w:cs="仿宋_GB2312"/>
          <w:spacing w:val="-6"/>
          <w:sz w:val="32"/>
          <w:szCs w:val="32"/>
        </w:rPr>
      </w:pPr>
      <w:r>
        <w:rPr>
          <w:rFonts w:hint="eastAsia" w:ascii="黑体" w:hAnsi="黑体" w:eastAsia="黑体" w:cs="黑体"/>
          <w:spacing w:val="-6"/>
          <w:sz w:val="32"/>
          <w:szCs w:val="32"/>
        </w:rPr>
        <w:t>第十条</w:t>
      </w:r>
      <w:r>
        <w:rPr>
          <w:rFonts w:hint="eastAsia" w:ascii="仿宋_GB2312" w:hAnsi="仿宋_GB2312" w:eastAsia="仿宋_GB2312" w:cs="仿宋_GB2312"/>
          <w:spacing w:val="-6"/>
          <w:sz w:val="32"/>
          <w:szCs w:val="32"/>
        </w:rPr>
        <w:t xml:space="preserve"> </w:t>
      </w:r>
      <w:r>
        <w:rPr>
          <w:rFonts w:hint="eastAsia" w:ascii="仿宋_GB2312" w:hAnsi="仿宋_GB2312" w:eastAsia="仿宋_GB2312" w:cs="仿宋_GB2312"/>
          <w:spacing w:val="-6"/>
          <w:sz w:val="32"/>
          <w:szCs w:val="32"/>
          <w:lang w:val="en-US" w:eastAsia="zh-CN"/>
        </w:rPr>
        <w:t xml:space="preserve"> </w:t>
      </w:r>
      <w:r>
        <w:rPr>
          <w:rFonts w:hint="eastAsia" w:ascii="仿宋_GB2312" w:hAnsi="仿宋_GB2312" w:eastAsia="仿宋_GB2312" w:cs="仿宋_GB2312"/>
          <w:spacing w:val="-6"/>
          <w:sz w:val="32"/>
          <w:szCs w:val="32"/>
        </w:rPr>
        <w:t>市人民政府规划部门应当会同环境保护、水行政、住房和城乡建设、国土资源、林业等部门，依照城市总体规划和土地利用总体规划划定城市蓝线，经市人民政府批准后实施。区人民政府（管理委员会）应当对城市蓝线立界。</w:t>
      </w:r>
    </w:p>
    <w:p>
      <w:pPr>
        <w:adjustRightInd w:val="0"/>
        <w:snapToGrid w:val="0"/>
        <w:spacing w:line="576" w:lineRule="exact"/>
        <w:ind w:firstLine="616" w:firstLineChars="200"/>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市人民政府环境保护部门应当编制城市河湖污染防治规划，水行政部门应当编制水资源综合利用规划，住房和城乡建设部门应当编制海绵城市建设专项规划，规划部门应当编制城市排水和污水处理规划，经市人民政府批准后实施。</w:t>
      </w:r>
    </w:p>
    <w:p>
      <w:pPr>
        <w:adjustRightInd w:val="0"/>
        <w:snapToGrid w:val="0"/>
        <w:spacing w:line="576" w:lineRule="exact"/>
        <w:ind w:firstLine="616" w:firstLineChars="200"/>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城市蓝线、城市河湖污染防治规划、水资源综合利用规划、海绵城市建设专项规划、城市排水和污水处理规划经批准后应当及时向社会公布，未经法定程序不得随意变更。</w:t>
      </w:r>
    </w:p>
    <w:p>
      <w:pPr>
        <w:adjustRightInd w:val="0"/>
        <w:snapToGrid w:val="0"/>
        <w:spacing w:line="576" w:lineRule="exact"/>
        <w:ind w:firstLine="616" w:firstLineChars="200"/>
        <w:rPr>
          <w:rFonts w:hint="eastAsia" w:ascii="仿宋_GB2312" w:hAnsi="仿宋_GB2312" w:eastAsia="仿宋_GB2312" w:cs="仿宋_GB2312"/>
          <w:spacing w:val="-6"/>
          <w:sz w:val="32"/>
          <w:szCs w:val="32"/>
        </w:rPr>
      </w:pPr>
      <w:r>
        <w:rPr>
          <w:rFonts w:hint="eastAsia" w:ascii="黑体" w:hAnsi="黑体" w:eastAsia="黑体" w:cs="黑体"/>
          <w:spacing w:val="-6"/>
          <w:sz w:val="32"/>
          <w:szCs w:val="32"/>
        </w:rPr>
        <w:t>第十一条</w:t>
      </w:r>
      <w:r>
        <w:rPr>
          <w:rFonts w:hint="eastAsia" w:ascii="仿宋_GB2312" w:hAnsi="仿宋_GB2312" w:eastAsia="仿宋_GB2312" w:cs="仿宋_GB2312"/>
          <w:spacing w:val="-6"/>
          <w:sz w:val="32"/>
          <w:szCs w:val="32"/>
        </w:rPr>
        <w:t xml:space="preserve"> </w:t>
      </w:r>
      <w:r>
        <w:rPr>
          <w:rFonts w:hint="eastAsia" w:ascii="仿宋_GB2312" w:hAnsi="仿宋_GB2312" w:eastAsia="仿宋_GB2312" w:cs="仿宋_GB2312"/>
          <w:spacing w:val="-6"/>
          <w:sz w:val="32"/>
          <w:szCs w:val="32"/>
          <w:lang w:val="en-US" w:eastAsia="zh-CN"/>
        </w:rPr>
        <w:t xml:space="preserve"> </w:t>
      </w:r>
      <w:r>
        <w:rPr>
          <w:rFonts w:hint="eastAsia" w:ascii="仿宋_GB2312" w:hAnsi="仿宋_GB2312" w:eastAsia="仿宋_GB2312" w:cs="仿宋_GB2312"/>
          <w:spacing w:val="-6"/>
          <w:sz w:val="32"/>
          <w:szCs w:val="32"/>
        </w:rPr>
        <w:t>城市蓝线、城市河湖污染防治规划、水资源综合利用规划、海绵城市建设专项规划、城市排水和污水处理规划报送批准前，编制机关应当将规划草案予以公告，并采取论证会、听证会或者其他方式征求专家和公众的意见。公告的时间不得少于三十日。编制机关应当充分考虑专家和公众的意见，并在报送批准的材料中附具意见采纳情况及理由。</w:t>
      </w:r>
    </w:p>
    <w:p>
      <w:pPr>
        <w:adjustRightInd w:val="0"/>
        <w:snapToGrid w:val="0"/>
        <w:spacing w:line="576" w:lineRule="exact"/>
        <w:ind w:firstLine="616" w:firstLineChars="200"/>
        <w:rPr>
          <w:rFonts w:hint="eastAsia" w:ascii="仿宋_GB2312" w:hAnsi="仿宋_GB2312" w:eastAsia="仿宋_GB2312" w:cs="仿宋_GB2312"/>
          <w:spacing w:val="-6"/>
          <w:sz w:val="32"/>
          <w:szCs w:val="32"/>
        </w:rPr>
      </w:pPr>
      <w:r>
        <w:rPr>
          <w:rFonts w:hint="eastAsia" w:ascii="黑体" w:hAnsi="黑体" w:eastAsia="黑体" w:cs="黑体"/>
          <w:spacing w:val="-6"/>
          <w:sz w:val="32"/>
          <w:szCs w:val="32"/>
        </w:rPr>
        <w:t>第十二条</w:t>
      </w:r>
      <w:r>
        <w:rPr>
          <w:rFonts w:hint="eastAsia" w:ascii="黑体" w:hAnsi="黑体" w:eastAsia="黑体" w:cs="黑体"/>
          <w:spacing w:val="-6"/>
          <w:sz w:val="32"/>
          <w:szCs w:val="32"/>
          <w:lang w:val="en-US" w:eastAsia="zh-CN"/>
        </w:rPr>
        <w:t xml:space="preserve"> </w:t>
      </w:r>
      <w:r>
        <w:rPr>
          <w:rFonts w:hint="eastAsia" w:ascii="黑体" w:hAnsi="黑体" w:eastAsia="黑体" w:cs="黑体"/>
          <w:spacing w:val="-6"/>
          <w:sz w:val="32"/>
          <w:szCs w:val="32"/>
        </w:rPr>
        <w:t xml:space="preserve"> </w:t>
      </w:r>
      <w:r>
        <w:rPr>
          <w:rFonts w:hint="eastAsia" w:ascii="仿宋_GB2312" w:hAnsi="仿宋_GB2312" w:eastAsia="仿宋_GB2312" w:cs="仿宋_GB2312"/>
          <w:spacing w:val="-6"/>
          <w:sz w:val="32"/>
          <w:szCs w:val="32"/>
        </w:rPr>
        <w:t>城市蓝线、城市河湖污染防治规划、水资源综合利用规划、海绵城市建设专项规划、城市排水和污水处理规划之间应当协调一致。</w:t>
      </w:r>
    </w:p>
    <w:p>
      <w:pPr>
        <w:pStyle w:val="3"/>
        <w:widowControl w:val="0"/>
        <w:shd w:val="clear" w:color="auto" w:fill="FFFFFF"/>
        <w:adjustRightInd w:val="0"/>
        <w:snapToGrid w:val="0"/>
        <w:spacing w:before="0" w:beforeAutospacing="0" w:after="0" w:afterAutospacing="0" w:line="576" w:lineRule="exact"/>
        <w:jc w:val="center"/>
        <w:rPr>
          <w:rFonts w:hint="eastAsia" w:ascii="黑体" w:hAnsi="黑体" w:eastAsia="黑体" w:cs="黑体"/>
          <w:spacing w:val="-6"/>
          <w:sz w:val="32"/>
          <w:szCs w:val="32"/>
        </w:rPr>
      </w:pPr>
    </w:p>
    <w:p>
      <w:pPr>
        <w:pStyle w:val="3"/>
        <w:widowControl w:val="0"/>
        <w:shd w:val="clear" w:color="auto" w:fill="FFFFFF"/>
        <w:adjustRightInd w:val="0"/>
        <w:snapToGrid w:val="0"/>
        <w:spacing w:before="0" w:beforeAutospacing="0" w:after="0" w:afterAutospacing="0" w:line="576" w:lineRule="exact"/>
        <w:jc w:val="center"/>
        <w:rPr>
          <w:rFonts w:hint="eastAsia" w:ascii="黑体" w:hAnsi="黑体" w:eastAsia="黑体" w:cs="黑体"/>
          <w:spacing w:val="-6"/>
          <w:sz w:val="32"/>
          <w:szCs w:val="32"/>
        </w:rPr>
      </w:pPr>
      <w:r>
        <w:rPr>
          <w:rFonts w:hint="eastAsia" w:ascii="黑体" w:hAnsi="黑体" w:eastAsia="黑体" w:cs="黑体"/>
          <w:spacing w:val="-6"/>
          <w:sz w:val="32"/>
          <w:szCs w:val="32"/>
        </w:rPr>
        <w:t>第三章</w:t>
      </w:r>
      <w:r>
        <w:rPr>
          <w:rFonts w:hint="eastAsia" w:ascii="黑体" w:hAnsi="黑体" w:eastAsia="黑体" w:cs="黑体"/>
          <w:spacing w:val="-6"/>
          <w:sz w:val="32"/>
          <w:szCs w:val="32"/>
          <w:lang w:val="en-US" w:eastAsia="zh-CN"/>
        </w:rPr>
        <w:t xml:space="preserve"> </w:t>
      </w:r>
      <w:r>
        <w:rPr>
          <w:rFonts w:hint="eastAsia" w:ascii="黑体" w:hAnsi="黑体" w:eastAsia="黑体" w:cs="黑体"/>
          <w:spacing w:val="-6"/>
          <w:sz w:val="32"/>
          <w:szCs w:val="32"/>
        </w:rPr>
        <w:t xml:space="preserve"> 保护措施</w:t>
      </w:r>
    </w:p>
    <w:p>
      <w:pPr>
        <w:pStyle w:val="3"/>
        <w:widowControl w:val="0"/>
        <w:shd w:val="clear" w:color="auto" w:fill="FFFFFF"/>
        <w:adjustRightInd w:val="0"/>
        <w:snapToGrid w:val="0"/>
        <w:spacing w:before="0" w:beforeAutospacing="0" w:after="0" w:afterAutospacing="0" w:line="576" w:lineRule="exact"/>
        <w:jc w:val="center"/>
        <w:rPr>
          <w:rFonts w:hint="eastAsia" w:ascii="黑体" w:hAnsi="黑体" w:eastAsia="黑体" w:cs="黑体"/>
          <w:spacing w:val="-6"/>
          <w:sz w:val="32"/>
          <w:szCs w:val="32"/>
        </w:rPr>
      </w:pPr>
    </w:p>
    <w:p>
      <w:pPr>
        <w:adjustRightInd w:val="0"/>
        <w:snapToGrid w:val="0"/>
        <w:spacing w:line="576" w:lineRule="exact"/>
        <w:ind w:firstLine="616" w:firstLineChars="200"/>
        <w:rPr>
          <w:rFonts w:hint="eastAsia" w:ascii="仿宋_GB2312" w:hAnsi="仿宋_GB2312" w:eastAsia="仿宋_GB2312" w:cs="仿宋_GB2312"/>
          <w:spacing w:val="-6"/>
          <w:sz w:val="32"/>
          <w:szCs w:val="32"/>
        </w:rPr>
      </w:pPr>
      <w:r>
        <w:rPr>
          <w:rFonts w:hint="eastAsia" w:ascii="黑体" w:hAnsi="黑体" w:eastAsia="黑体" w:cs="黑体"/>
          <w:spacing w:val="-6"/>
          <w:sz w:val="32"/>
          <w:szCs w:val="32"/>
        </w:rPr>
        <w:t>第十三条</w:t>
      </w:r>
      <w:r>
        <w:rPr>
          <w:rFonts w:hint="eastAsia" w:ascii="仿宋_GB2312" w:hAnsi="仿宋_GB2312" w:eastAsia="仿宋_GB2312" w:cs="仿宋_GB2312"/>
          <w:spacing w:val="-6"/>
          <w:sz w:val="32"/>
          <w:szCs w:val="32"/>
        </w:rPr>
        <w:t xml:space="preserve"> </w:t>
      </w:r>
      <w:r>
        <w:rPr>
          <w:rFonts w:hint="eastAsia" w:ascii="仿宋_GB2312" w:hAnsi="仿宋_GB2312" w:eastAsia="仿宋_GB2312" w:cs="仿宋_GB2312"/>
          <w:spacing w:val="-6"/>
          <w:sz w:val="32"/>
          <w:szCs w:val="32"/>
          <w:lang w:val="en-US" w:eastAsia="zh-CN"/>
        </w:rPr>
        <w:t xml:space="preserve"> </w:t>
      </w:r>
      <w:r>
        <w:rPr>
          <w:rFonts w:hint="eastAsia" w:ascii="仿宋_GB2312" w:hAnsi="仿宋_GB2312" w:eastAsia="仿宋_GB2312" w:cs="仿宋_GB2312"/>
          <w:spacing w:val="-6"/>
          <w:sz w:val="32"/>
          <w:szCs w:val="32"/>
        </w:rPr>
        <w:t>在城市蓝线范围内，禁止下列行为：</w:t>
      </w:r>
    </w:p>
    <w:p>
      <w:pPr>
        <w:adjustRightInd w:val="0"/>
        <w:snapToGrid w:val="0"/>
        <w:spacing w:line="576" w:lineRule="exact"/>
        <w:ind w:firstLine="616" w:firstLineChars="200"/>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（一）围湖造田、筑坝拦汊、明河改暗河等填占和分割水体的行为；</w:t>
      </w:r>
    </w:p>
    <w:p>
      <w:pPr>
        <w:adjustRightInd w:val="0"/>
        <w:snapToGrid w:val="0"/>
        <w:spacing w:line="576" w:lineRule="exact"/>
        <w:ind w:firstLine="616" w:firstLineChars="200"/>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（二）建设除防洪、交通、水质水文监测、通讯、取水、排水、文化景观等公共设施以外的建（构）筑物；</w:t>
      </w:r>
    </w:p>
    <w:p>
      <w:pPr>
        <w:adjustRightInd w:val="0"/>
        <w:snapToGrid w:val="0"/>
        <w:spacing w:line="576" w:lineRule="exact"/>
        <w:ind w:firstLine="616" w:firstLineChars="200"/>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（三）炸鱼、毒鱼、电鱼，设置拦网渔具，投放有害水生生物，捕杀野生鸟类；</w:t>
      </w:r>
    </w:p>
    <w:p>
      <w:pPr>
        <w:adjustRightInd w:val="0"/>
        <w:snapToGrid w:val="0"/>
        <w:spacing w:line="576" w:lineRule="exact"/>
        <w:ind w:firstLine="616" w:firstLineChars="200"/>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（四）养殖珍珠，从事网箱、投饵、施肥养殖等污染水体的养殖经营活动；</w:t>
      </w:r>
    </w:p>
    <w:p>
      <w:pPr>
        <w:adjustRightInd w:val="0"/>
        <w:snapToGrid w:val="0"/>
        <w:spacing w:line="576" w:lineRule="exact"/>
        <w:ind w:firstLine="616" w:firstLineChars="200"/>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（五）直接排放生产生活污水，倾倒、填埋垃圾、渣土、工业废渣、畜禽粪便等废弃物；</w:t>
      </w:r>
    </w:p>
    <w:p>
      <w:pPr>
        <w:adjustRightInd w:val="0"/>
        <w:snapToGrid w:val="0"/>
        <w:spacing w:line="576" w:lineRule="exact"/>
        <w:ind w:firstLine="616" w:firstLineChars="200"/>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（六）设置洗车场；</w:t>
      </w:r>
    </w:p>
    <w:p>
      <w:pPr>
        <w:adjustRightInd w:val="0"/>
        <w:snapToGrid w:val="0"/>
        <w:spacing w:line="576" w:lineRule="exact"/>
        <w:ind w:firstLine="616" w:firstLineChars="200"/>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（七）露天烧烤食品或者为露天烧烤食品提供场地、从事水上餐饮经营活动；</w:t>
      </w:r>
    </w:p>
    <w:p>
      <w:pPr>
        <w:adjustRightInd w:val="0"/>
        <w:snapToGrid w:val="0"/>
        <w:spacing w:line="576" w:lineRule="exact"/>
        <w:ind w:firstLine="616" w:firstLineChars="200"/>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（八）开采地下水资源；</w:t>
      </w:r>
    </w:p>
    <w:p>
      <w:pPr>
        <w:adjustRightInd w:val="0"/>
        <w:snapToGrid w:val="0"/>
        <w:spacing w:line="576" w:lineRule="exact"/>
        <w:ind w:firstLine="616" w:firstLineChars="200"/>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（九）法律、法规禁止的其他行为。</w:t>
      </w:r>
    </w:p>
    <w:p>
      <w:pPr>
        <w:adjustRightInd w:val="0"/>
        <w:snapToGrid w:val="0"/>
        <w:spacing w:line="576" w:lineRule="exact"/>
        <w:ind w:firstLine="616" w:firstLineChars="200"/>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在城市蓝线范围内，除防洪、交通、水质水文监测、通讯、取水、排水、文化景观等公共设施以外，其他已经建成的建（构）筑物和设施不得进行改建和扩建。</w:t>
      </w:r>
    </w:p>
    <w:p>
      <w:pPr>
        <w:adjustRightInd w:val="0"/>
        <w:snapToGrid w:val="0"/>
        <w:spacing w:line="576" w:lineRule="exact"/>
        <w:ind w:firstLine="616" w:firstLineChars="200"/>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 xml:space="preserve">在城市蓝线范围内，已经依法建成的珍珠养殖场和网箱设施应当依法拆除，由此给公民、法人或者其他组织造成财产损失的，市、区人民政府应当依法给予补偿。 </w:t>
      </w:r>
    </w:p>
    <w:p>
      <w:pPr>
        <w:adjustRightInd w:val="0"/>
        <w:snapToGrid w:val="0"/>
        <w:spacing w:line="576" w:lineRule="exact"/>
        <w:ind w:firstLine="616" w:firstLineChars="200"/>
        <w:rPr>
          <w:rFonts w:hint="eastAsia" w:ascii="仿宋_GB2312" w:hAnsi="仿宋_GB2312" w:eastAsia="仿宋_GB2312" w:cs="仿宋_GB2312"/>
          <w:spacing w:val="-6"/>
          <w:sz w:val="32"/>
          <w:szCs w:val="32"/>
        </w:rPr>
      </w:pPr>
      <w:r>
        <w:rPr>
          <w:rFonts w:hint="eastAsia" w:ascii="黑体" w:hAnsi="黑体" w:eastAsia="黑体" w:cs="黑体"/>
          <w:spacing w:val="-6"/>
          <w:sz w:val="32"/>
          <w:szCs w:val="32"/>
        </w:rPr>
        <w:t xml:space="preserve">第十四条 </w:t>
      </w:r>
      <w:r>
        <w:rPr>
          <w:rFonts w:hint="eastAsia" w:ascii="黑体" w:hAnsi="黑体" w:eastAsia="黑体" w:cs="黑体"/>
          <w:spacing w:val="-6"/>
          <w:sz w:val="32"/>
          <w:szCs w:val="32"/>
          <w:lang w:val="en-US" w:eastAsia="zh-CN"/>
        </w:rPr>
        <w:t xml:space="preserve"> </w:t>
      </w:r>
      <w:r>
        <w:rPr>
          <w:rFonts w:hint="eastAsia" w:ascii="仿宋_GB2312" w:hAnsi="仿宋_GB2312" w:eastAsia="仿宋_GB2312" w:cs="仿宋_GB2312"/>
          <w:spacing w:val="-6"/>
          <w:sz w:val="32"/>
          <w:szCs w:val="32"/>
        </w:rPr>
        <w:t>在城市蓝线范围内从事建设活动，应当采取有效措施保护周边的植被、水体、地貌环境，不得造成污染和破坏。施工单位在工程竣工后应当及时清除施工便道、施工围堰以及其他施工设施和废弃物。</w:t>
      </w:r>
    </w:p>
    <w:p>
      <w:pPr>
        <w:adjustRightInd w:val="0"/>
        <w:snapToGrid w:val="0"/>
        <w:spacing w:line="576" w:lineRule="exact"/>
        <w:ind w:firstLine="616" w:firstLineChars="200"/>
        <w:rPr>
          <w:rFonts w:hint="eastAsia" w:ascii="仿宋_GB2312" w:hAnsi="仿宋_GB2312" w:eastAsia="仿宋_GB2312" w:cs="仿宋_GB2312"/>
          <w:spacing w:val="-6"/>
          <w:sz w:val="32"/>
          <w:szCs w:val="32"/>
        </w:rPr>
      </w:pPr>
      <w:r>
        <w:rPr>
          <w:rFonts w:hint="eastAsia" w:ascii="黑体" w:hAnsi="黑体" w:eastAsia="黑体" w:cs="黑体"/>
          <w:spacing w:val="-6"/>
          <w:sz w:val="32"/>
          <w:szCs w:val="32"/>
        </w:rPr>
        <w:t xml:space="preserve">第十五条 </w:t>
      </w:r>
      <w:r>
        <w:rPr>
          <w:rFonts w:hint="eastAsia" w:ascii="黑体" w:hAnsi="黑体" w:eastAsia="黑体" w:cs="黑体"/>
          <w:spacing w:val="-6"/>
          <w:sz w:val="32"/>
          <w:szCs w:val="32"/>
          <w:lang w:val="en-US" w:eastAsia="zh-CN"/>
        </w:rPr>
        <w:t xml:space="preserve"> </w:t>
      </w:r>
      <w:r>
        <w:rPr>
          <w:rFonts w:hint="eastAsia" w:ascii="仿宋_GB2312" w:hAnsi="仿宋_GB2312" w:eastAsia="仿宋_GB2312" w:cs="仿宋_GB2312"/>
          <w:spacing w:val="-6"/>
          <w:sz w:val="32"/>
          <w:szCs w:val="32"/>
        </w:rPr>
        <w:t>鼓励沅江上行驶的船舶及其他水上载人工具使用清洁能源；其他水域行驶的船舶及其他水上载人工具应当使用清洁能源，并符合相关技术规范。</w:t>
      </w:r>
    </w:p>
    <w:p>
      <w:pPr>
        <w:adjustRightInd w:val="0"/>
        <w:snapToGrid w:val="0"/>
        <w:spacing w:line="576" w:lineRule="exact"/>
        <w:ind w:firstLine="616" w:firstLineChars="200"/>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船舶废弃物应当集中回收，移交港口码头或者有资质的单位进行无害化处理，不得向水体倾倒垃圾。</w:t>
      </w:r>
    </w:p>
    <w:p>
      <w:pPr>
        <w:adjustRightInd w:val="0"/>
        <w:snapToGrid w:val="0"/>
        <w:spacing w:line="576" w:lineRule="exact"/>
        <w:ind w:firstLine="616" w:firstLineChars="200"/>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港口码头、船舶修造厂、船闸闸室应当建设回收船舶污染物并实施无害化处理的设施或者委托有资质的污染物接收单位接收处理船舶污染物。</w:t>
      </w:r>
    </w:p>
    <w:p>
      <w:pPr>
        <w:adjustRightInd w:val="0"/>
        <w:snapToGrid w:val="0"/>
        <w:spacing w:line="576" w:lineRule="exact"/>
        <w:ind w:firstLine="616" w:firstLineChars="200"/>
        <w:rPr>
          <w:rFonts w:hint="eastAsia" w:ascii="仿宋_GB2312" w:hAnsi="仿宋_GB2312" w:eastAsia="仿宋_GB2312" w:cs="仿宋_GB2312"/>
          <w:spacing w:val="-6"/>
          <w:sz w:val="32"/>
          <w:szCs w:val="32"/>
        </w:rPr>
      </w:pPr>
      <w:r>
        <w:rPr>
          <w:rFonts w:hint="eastAsia" w:ascii="黑体" w:hAnsi="黑体" w:eastAsia="黑体" w:cs="黑体"/>
          <w:spacing w:val="-6"/>
          <w:sz w:val="32"/>
          <w:szCs w:val="32"/>
        </w:rPr>
        <w:t xml:space="preserve">第十六条 </w:t>
      </w:r>
      <w:r>
        <w:rPr>
          <w:rFonts w:hint="eastAsia" w:ascii="黑体" w:hAnsi="黑体" w:eastAsia="黑体" w:cs="黑体"/>
          <w:spacing w:val="-6"/>
          <w:sz w:val="32"/>
          <w:szCs w:val="32"/>
          <w:lang w:val="en-US" w:eastAsia="zh-CN"/>
        </w:rPr>
        <w:t xml:space="preserve"> </w:t>
      </w:r>
      <w:r>
        <w:rPr>
          <w:rFonts w:hint="eastAsia" w:ascii="仿宋_GB2312" w:hAnsi="仿宋_GB2312" w:eastAsia="仿宋_GB2312" w:cs="仿宋_GB2312"/>
          <w:spacing w:val="-6"/>
          <w:sz w:val="32"/>
          <w:szCs w:val="32"/>
        </w:rPr>
        <w:t>市、区人民政府（管理委员会）应当依照城市排水和污水处理规划，建设雨水、污水分流的排水管网和污水处理设施。城市新区的开发和建设应当优先安排排水和污水处理设施的建设。</w:t>
      </w:r>
    </w:p>
    <w:p>
      <w:pPr>
        <w:adjustRightInd w:val="0"/>
        <w:snapToGrid w:val="0"/>
        <w:spacing w:line="576" w:lineRule="exact"/>
        <w:ind w:firstLine="616" w:firstLineChars="200"/>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生产生活污水应当按照国家有关规定排入污水管网。污水管网暂未覆盖区域内的生产生活污水应当采取分散式污水处理等方式处理后达标排放。</w:t>
      </w:r>
    </w:p>
    <w:p>
      <w:pPr>
        <w:adjustRightInd w:val="0"/>
        <w:snapToGrid w:val="0"/>
        <w:spacing w:line="576" w:lineRule="exact"/>
        <w:ind w:firstLine="616" w:firstLineChars="200"/>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污水处理设施维护运营单位应当保证出水水质符合国家和地方规定的标准，不得排放不达标污水，不得擅自停运污水处理设施。</w:t>
      </w:r>
    </w:p>
    <w:p>
      <w:pPr>
        <w:adjustRightInd w:val="0"/>
        <w:snapToGrid w:val="0"/>
        <w:spacing w:line="576" w:lineRule="exact"/>
        <w:ind w:firstLine="616" w:firstLineChars="200"/>
        <w:rPr>
          <w:rFonts w:hint="eastAsia" w:ascii="仿宋_GB2312" w:hAnsi="仿宋_GB2312" w:eastAsia="仿宋_GB2312" w:cs="仿宋_GB2312"/>
          <w:spacing w:val="-6"/>
          <w:sz w:val="32"/>
          <w:szCs w:val="32"/>
        </w:rPr>
      </w:pPr>
      <w:r>
        <w:rPr>
          <w:rFonts w:hint="eastAsia" w:ascii="黑体" w:hAnsi="黑体" w:eastAsia="黑体" w:cs="黑体"/>
          <w:spacing w:val="-6"/>
          <w:sz w:val="32"/>
          <w:szCs w:val="32"/>
        </w:rPr>
        <w:t>第十七条</w:t>
      </w:r>
      <w:r>
        <w:rPr>
          <w:rFonts w:hint="eastAsia" w:ascii="黑体" w:hAnsi="黑体" w:eastAsia="黑体" w:cs="黑体"/>
          <w:spacing w:val="-6"/>
          <w:sz w:val="32"/>
          <w:szCs w:val="32"/>
          <w:lang w:val="en-US" w:eastAsia="zh-CN"/>
        </w:rPr>
        <w:t xml:space="preserve"> </w:t>
      </w:r>
      <w:r>
        <w:rPr>
          <w:rFonts w:hint="eastAsia" w:ascii="黑体" w:hAnsi="黑体" w:eastAsia="黑体" w:cs="黑体"/>
          <w:spacing w:val="-6"/>
          <w:sz w:val="32"/>
          <w:szCs w:val="32"/>
        </w:rPr>
        <w:t xml:space="preserve"> </w:t>
      </w:r>
      <w:r>
        <w:rPr>
          <w:rFonts w:hint="eastAsia" w:ascii="仿宋_GB2312" w:hAnsi="仿宋_GB2312" w:eastAsia="仿宋_GB2312" w:cs="仿宋_GB2312"/>
          <w:spacing w:val="-6"/>
          <w:sz w:val="32"/>
          <w:szCs w:val="32"/>
        </w:rPr>
        <w:t>城市规划区范围内不得建设生活垃圾填埋场。已经建成的生活垃圾填埋场应当限期关闭，并对垃圾渗滤液进行处理，防止污染城市河湖水体。</w:t>
      </w:r>
    </w:p>
    <w:p>
      <w:pPr>
        <w:adjustRightInd w:val="0"/>
        <w:snapToGrid w:val="0"/>
        <w:spacing w:line="576" w:lineRule="exact"/>
        <w:ind w:firstLine="616" w:firstLineChars="200"/>
        <w:rPr>
          <w:rFonts w:hint="eastAsia" w:ascii="仿宋_GB2312" w:hAnsi="仿宋_GB2312" w:eastAsia="仿宋_GB2312" w:cs="仿宋_GB2312"/>
          <w:spacing w:val="-6"/>
          <w:sz w:val="32"/>
          <w:szCs w:val="32"/>
        </w:rPr>
      </w:pPr>
      <w:r>
        <w:rPr>
          <w:rFonts w:hint="eastAsia" w:ascii="黑体" w:hAnsi="黑体" w:eastAsia="黑体" w:cs="黑体"/>
          <w:spacing w:val="-6"/>
          <w:sz w:val="32"/>
          <w:szCs w:val="32"/>
        </w:rPr>
        <w:t>第十八条</w:t>
      </w:r>
      <w:r>
        <w:rPr>
          <w:rFonts w:hint="eastAsia" w:ascii="黑体" w:hAnsi="黑体" w:eastAsia="黑体" w:cs="黑体"/>
          <w:spacing w:val="-6"/>
          <w:sz w:val="32"/>
          <w:szCs w:val="32"/>
          <w:lang w:val="en-US" w:eastAsia="zh-CN"/>
        </w:rPr>
        <w:t xml:space="preserve"> </w:t>
      </w:r>
      <w:r>
        <w:rPr>
          <w:rFonts w:hint="eastAsia" w:ascii="黑体" w:hAnsi="黑体" w:eastAsia="黑体" w:cs="黑体"/>
          <w:spacing w:val="-6"/>
          <w:sz w:val="32"/>
          <w:szCs w:val="32"/>
        </w:rPr>
        <w:t xml:space="preserve"> </w:t>
      </w:r>
      <w:r>
        <w:rPr>
          <w:rFonts w:hint="eastAsia" w:ascii="仿宋_GB2312" w:hAnsi="仿宋_GB2312" w:eastAsia="仿宋_GB2312" w:cs="仿宋_GB2312"/>
          <w:spacing w:val="-6"/>
          <w:sz w:val="32"/>
          <w:szCs w:val="32"/>
        </w:rPr>
        <w:t>城市规划区范围内禁止设立畜禽养殖场和养殖小区。已经依法设立的畜禽养殖场和养殖小区，应当依法搬迁或者关闭，由此给公民、法人或者其他组织造成财产损失的，市、区人民政府应当依法给予补偿 ；违法设立的畜禽养殖场和养殖小区，应当依法组织拆除。</w:t>
      </w:r>
    </w:p>
    <w:p>
      <w:pPr>
        <w:pStyle w:val="3"/>
        <w:widowControl w:val="0"/>
        <w:shd w:val="clear" w:color="auto" w:fill="FFFFFF"/>
        <w:adjustRightInd w:val="0"/>
        <w:snapToGrid w:val="0"/>
        <w:spacing w:before="0" w:beforeAutospacing="0" w:after="0" w:afterAutospacing="0" w:line="576" w:lineRule="exact"/>
        <w:jc w:val="center"/>
        <w:rPr>
          <w:rFonts w:hint="eastAsia" w:ascii="黑体" w:hAnsi="黑体" w:eastAsia="黑体" w:cs="黑体"/>
          <w:spacing w:val="-6"/>
          <w:sz w:val="32"/>
          <w:szCs w:val="32"/>
        </w:rPr>
      </w:pPr>
    </w:p>
    <w:p>
      <w:pPr>
        <w:pStyle w:val="3"/>
        <w:widowControl w:val="0"/>
        <w:shd w:val="clear" w:color="auto" w:fill="FFFFFF"/>
        <w:adjustRightInd w:val="0"/>
        <w:snapToGrid w:val="0"/>
        <w:spacing w:before="0" w:beforeAutospacing="0" w:after="0" w:afterAutospacing="0" w:line="576" w:lineRule="exact"/>
        <w:jc w:val="center"/>
        <w:rPr>
          <w:rFonts w:hint="eastAsia" w:ascii="黑体" w:hAnsi="黑体" w:eastAsia="黑体" w:cs="黑体"/>
          <w:spacing w:val="-6"/>
          <w:sz w:val="32"/>
          <w:szCs w:val="32"/>
        </w:rPr>
      </w:pPr>
      <w:r>
        <w:rPr>
          <w:rFonts w:hint="eastAsia" w:ascii="黑体" w:hAnsi="黑体" w:eastAsia="黑体" w:cs="黑体"/>
          <w:spacing w:val="-6"/>
          <w:sz w:val="32"/>
          <w:szCs w:val="32"/>
        </w:rPr>
        <w:t xml:space="preserve">第四章 </w:t>
      </w:r>
      <w:r>
        <w:rPr>
          <w:rFonts w:hint="eastAsia" w:ascii="黑体" w:hAnsi="黑体" w:eastAsia="黑体" w:cs="黑体"/>
          <w:spacing w:val="-6"/>
          <w:sz w:val="32"/>
          <w:szCs w:val="32"/>
          <w:lang w:val="en-US" w:eastAsia="zh-CN"/>
        </w:rPr>
        <w:t xml:space="preserve"> </w:t>
      </w:r>
      <w:r>
        <w:rPr>
          <w:rFonts w:hint="eastAsia" w:ascii="黑体" w:hAnsi="黑体" w:eastAsia="黑体" w:cs="黑体"/>
          <w:spacing w:val="-6"/>
          <w:sz w:val="32"/>
          <w:szCs w:val="32"/>
        </w:rPr>
        <w:t>监督管理</w:t>
      </w:r>
    </w:p>
    <w:p>
      <w:pPr>
        <w:pStyle w:val="3"/>
        <w:widowControl w:val="0"/>
        <w:shd w:val="clear" w:color="auto" w:fill="FFFFFF"/>
        <w:adjustRightInd w:val="0"/>
        <w:snapToGrid w:val="0"/>
        <w:spacing w:before="0" w:beforeAutospacing="0" w:after="0" w:afterAutospacing="0" w:line="576" w:lineRule="exact"/>
        <w:jc w:val="center"/>
        <w:rPr>
          <w:rFonts w:hint="eastAsia" w:ascii="黑体" w:hAnsi="黑体" w:eastAsia="黑体" w:cs="黑体"/>
          <w:spacing w:val="-6"/>
          <w:sz w:val="32"/>
          <w:szCs w:val="32"/>
        </w:rPr>
      </w:pPr>
    </w:p>
    <w:p>
      <w:pPr>
        <w:adjustRightInd w:val="0"/>
        <w:snapToGrid w:val="0"/>
        <w:spacing w:line="576" w:lineRule="exact"/>
        <w:ind w:firstLine="616" w:firstLineChars="200"/>
        <w:rPr>
          <w:rFonts w:hint="eastAsia" w:ascii="仿宋_GB2312" w:hAnsi="仿宋_GB2312" w:eastAsia="仿宋_GB2312" w:cs="仿宋_GB2312"/>
          <w:spacing w:val="-6"/>
          <w:sz w:val="32"/>
          <w:szCs w:val="32"/>
        </w:rPr>
      </w:pPr>
      <w:r>
        <w:rPr>
          <w:rFonts w:hint="eastAsia" w:ascii="黑体" w:hAnsi="黑体" w:eastAsia="黑体" w:cs="黑体"/>
          <w:spacing w:val="-6"/>
          <w:sz w:val="32"/>
          <w:szCs w:val="32"/>
        </w:rPr>
        <w:t xml:space="preserve">第十九条 </w:t>
      </w:r>
      <w:r>
        <w:rPr>
          <w:rFonts w:hint="eastAsia" w:ascii="黑体" w:hAnsi="黑体" w:eastAsia="黑体" w:cs="黑体"/>
          <w:spacing w:val="-6"/>
          <w:sz w:val="32"/>
          <w:szCs w:val="32"/>
          <w:lang w:val="en-US" w:eastAsia="zh-CN"/>
        </w:rPr>
        <w:t xml:space="preserve"> </w:t>
      </w:r>
      <w:r>
        <w:rPr>
          <w:rFonts w:hint="eastAsia" w:ascii="仿宋_GB2312" w:hAnsi="仿宋_GB2312" w:eastAsia="仿宋_GB2312" w:cs="仿宋_GB2312"/>
          <w:spacing w:val="-6"/>
          <w:sz w:val="32"/>
          <w:szCs w:val="32"/>
        </w:rPr>
        <w:t>规划部门审查批准城市建设项目时应当符合城市蓝线、水资源综合利用规划、城市河湖污染防治规划、海绵城市建设专项规划、城市排水和污水处理规划，建设项目的选址、布局、高度、体量、造型、风格和色调应当与周围景观和环境相协调，与水生态环境相适应。</w:t>
      </w:r>
    </w:p>
    <w:p>
      <w:pPr>
        <w:adjustRightInd w:val="0"/>
        <w:snapToGrid w:val="0"/>
        <w:spacing w:line="576" w:lineRule="exact"/>
        <w:ind w:firstLine="616" w:firstLineChars="200"/>
        <w:rPr>
          <w:rFonts w:hint="eastAsia" w:ascii="仿宋_GB2312" w:hAnsi="仿宋_GB2312" w:eastAsia="仿宋_GB2312" w:cs="仿宋_GB2312"/>
          <w:spacing w:val="-6"/>
          <w:sz w:val="32"/>
          <w:szCs w:val="32"/>
        </w:rPr>
      </w:pPr>
      <w:r>
        <w:rPr>
          <w:rFonts w:hint="eastAsia" w:ascii="黑体" w:hAnsi="黑体" w:eastAsia="黑体" w:cs="黑体"/>
          <w:spacing w:val="-6"/>
          <w:sz w:val="32"/>
          <w:szCs w:val="32"/>
        </w:rPr>
        <w:t xml:space="preserve">第二十条 </w:t>
      </w:r>
      <w:r>
        <w:rPr>
          <w:rFonts w:hint="eastAsia" w:ascii="黑体" w:hAnsi="黑体" w:eastAsia="黑体" w:cs="黑体"/>
          <w:spacing w:val="-6"/>
          <w:sz w:val="32"/>
          <w:szCs w:val="32"/>
          <w:lang w:val="en-US" w:eastAsia="zh-CN"/>
        </w:rPr>
        <w:t xml:space="preserve"> </w:t>
      </w:r>
      <w:r>
        <w:rPr>
          <w:rFonts w:hint="eastAsia" w:ascii="仿宋_GB2312" w:hAnsi="仿宋_GB2312" w:eastAsia="仿宋_GB2312" w:cs="仿宋_GB2312"/>
          <w:spacing w:val="-6"/>
          <w:sz w:val="32"/>
          <w:szCs w:val="32"/>
        </w:rPr>
        <w:t>市、区人民政府（管理委员会）应当明确城市河湖保洁责任单位，及时清理河湖水体及堤岸周边的垃圾。</w:t>
      </w:r>
    </w:p>
    <w:p>
      <w:pPr>
        <w:adjustRightInd w:val="0"/>
        <w:snapToGrid w:val="0"/>
        <w:spacing w:line="576" w:lineRule="exact"/>
        <w:ind w:firstLine="616" w:firstLineChars="200"/>
        <w:rPr>
          <w:rFonts w:hint="eastAsia" w:ascii="仿宋_GB2312" w:hAnsi="仿宋_GB2312" w:eastAsia="仿宋_GB2312" w:cs="仿宋_GB2312"/>
          <w:spacing w:val="-6"/>
          <w:sz w:val="32"/>
          <w:szCs w:val="32"/>
        </w:rPr>
      </w:pPr>
      <w:r>
        <w:rPr>
          <w:rFonts w:hint="eastAsia" w:ascii="黑体" w:hAnsi="黑体" w:eastAsia="黑体" w:cs="黑体"/>
          <w:spacing w:val="-6"/>
          <w:sz w:val="32"/>
          <w:szCs w:val="32"/>
        </w:rPr>
        <w:t xml:space="preserve">第二十一条 </w:t>
      </w:r>
      <w:r>
        <w:rPr>
          <w:rFonts w:hint="eastAsia" w:ascii="黑体" w:hAnsi="黑体" w:eastAsia="黑体" w:cs="黑体"/>
          <w:spacing w:val="-6"/>
          <w:sz w:val="32"/>
          <w:szCs w:val="32"/>
          <w:lang w:val="en-US" w:eastAsia="zh-CN"/>
        </w:rPr>
        <w:t xml:space="preserve"> </w:t>
      </w:r>
      <w:r>
        <w:rPr>
          <w:rFonts w:hint="eastAsia" w:ascii="仿宋_GB2312" w:hAnsi="仿宋_GB2312" w:eastAsia="仿宋_GB2312" w:cs="仿宋_GB2312"/>
          <w:spacing w:val="-6"/>
          <w:sz w:val="32"/>
          <w:szCs w:val="32"/>
        </w:rPr>
        <w:t>市、区人民政府（管理委员会）应当组织相关部门，种植或者放养净化水体的生物，清除有害水生生物及其残体，清淤疏浚，构建人工湿地、雨水花园、生态驳岸、调蓄池，增强地表涵水功能，优化水生态系统。</w:t>
      </w:r>
    </w:p>
    <w:p>
      <w:pPr>
        <w:adjustRightInd w:val="0"/>
        <w:snapToGrid w:val="0"/>
        <w:spacing w:line="576" w:lineRule="exact"/>
        <w:ind w:firstLine="616" w:firstLineChars="200"/>
        <w:rPr>
          <w:rFonts w:hint="eastAsia" w:ascii="仿宋_GB2312" w:hAnsi="仿宋_GB2312" w:eastAsia="仿宋_GB2312" w:cs="仿宋_GB2312"/>
          <w:spacing w:val="-6"/>
          <w:sz w:val="32"/>
          <w:szCs w:val="32"/>
        </w:rPr>
      </w:pPr>
      <w:r>
        <w:rPr>
          <w:rFonts w:hint="eastAsia" w:ascii="黑体" w:hAnsi="黑体" w:eastAsia="黑体" w:cs="黑体"/>
          <w:spacing w:val="-6"/>
          <w:sz w:val="32"/>
          <w:szCs w:val="32"/>
        </w:rPr>
        <w:t xml:space="preserve">第二十二条 </w:t>
      </w:r>
      <w:r>
        <w:rPr>
          <w:rFonts w:hint="eastAsia" w:ascii="黑体" w:hAnsi="黑体" w:eastAsia="黑体" w:cs="黑体"/>
          <w:spacing w:val="-6"/>
          <w:sz w:val="32"/>
          <w:szCs w:val="32"/>
          <w:lang w:val="en-US" w:eastAsia="zh-CN"/>
        </w:rPr>
        <w:t xml:space="preserve"> </w:t>
      </w:r>
      <w:r>
        <w:rPr>
          <w:rFonts w:hint="eastAsia" w:ascii="仿宋_GB2312" w:hAnsi="仿宋_GB2312" w:eastAsia="仿宋_GB2312" w:cs="仿宋_GB2312"/>
          <w:spacing w:val="-6"/>
          <w:sz w:val="32"/>
          <w:szCs w:val="32"/>
        </w:rPr>
        <w:t>水行政部门应当会同有关部门分季节科学确定城市河湖控制水位，合理调控河湖水量，通过开闸放水、开渠引水等补水方式改善水动力条件，增强水体的自净能力，维护水体的生态功能。</w:t>
      </w:r>
    </w:p>
    <w:p>
      <w:pPr>
        <w:adjustRightInd w:val="0"/>
        <w:snapToGrid w:val="0"/>
        <w:spacing w:line="576" w:lineRule="exact"/>
        <w:ind w:firstLine="616" w:firstLineChars="200"/>
        <w:rPr>
          <w:rFonts w:hint="eastAsia" w:ascii="仿宋_GB2312" w:hAnsi="仿宋_GB2312" w:eastAsia="仿宋_GB2312" w:cs="仿宋_GB2312"/>
          <w:spacing w:val="-6"/>
          <w:sz w:val="32"/>
          <w:szCs w:val="32"/>
        </w:rPr>
      </w:pPr>
      <w:r>
        <w:rPr>
          <w:rFonts w:hint="eastAsia" w:ascii="黑体" w:hAnsi="黑体" w:eastAsia="黑体" w:cs="黑体"/>
          <w:spacing w:val="-6"/>
          <w:sz w:val="32"/>
          <w:szCs w:val="32"/>
        </w:rPr>
        <w:t xml:space="preserve">第二十三条 </w:t>
      </w:r>
      <w:r>
        <w:rPr>
          <w:rFonts w:hint="eastAsia" w:ascii="黑体" w:hAnsi="黑体" w:eastAsia="黑体" w:cs="黑体"/>
          <w:spacing w:val="-6"/>
          <w:sz w:val="32"/>
          <w:szCs w:val="32"/>
          <w:lang w:val="en-US" w:eastAsia="zh-CN"/>
        </w:rPr>
        <w:t xml:space="preserve"> </w:t>
      </w:r>
      <w:r>
        <w:rPr>
          <w:rFonts w:hint="eastAsia" w:ascii="仿宋_GB2312" w:hAnsi="仿宋_GB2312" w:eastAsia="仿宋_GB2312" w:cs="仿宋_GB2312"/>
          <w:spacing w:val="-6"/>
          <w:sz w:val="32"/>
          <w:szCs w:val="32"/>
        </w:rPr>
        <w:t>环境保护部门应当会同住房和城乡建设、水行政、城市管理、规划等部门开展巡查、现场检查和联合执法，对违法填占河湖、污染水体等行为依法予以处理。</w:t>
      </w:r>
    </w:p>
    <w:p>
      <w:pPr>
        <w:adjustRightInd w:val="0"/>
        <w:snapToGrid w:val="0"/>
        <w:spacing w:line="576" w:lineRule="exact"/>
        <w:ind w:firstLine="616" w:firstLineChars="200"/>
        <w:rPr>
          <w:rFonts w:hint="eastAsia" w:ascii="仿宋_GB2312" w:hAnsi="仿宋_GB2312" w:eastAsia="仿宋_GB2312" w:cs="仿宋_GB2312"/>
          <w:spacing w:val="-6"/>
          <w:sz w:val="32"/>
          <w:szCs w:val="32"/>
        </w:rPr>
      </w:pPr>
      <w:r>
        <w:rPr>
          <w:rFonts w:hint="eastAsia" w:ascii="黑体" w:hAnsi="黑体" w:eastAsia="黑体" w:cs="黑体"/>
          <w:spacing w:val="-6"/>
          <w:sz w:val="32"/>
          <w:szCs w:val="32"/>
        </w:rPr>
        <w:t xml:space="preserve">第二十四条 </w:t>
      </w:r>
      <w:r>
        <w:rPr>
          <w:rFonts w:hint="eastAsia" w:ascii="黑体" w:hAnsi="黑体" w:eastAsia="黑体" w:cs="黑体"/>
          <w:spacing w:val="-6"/>
          <w:sz w:val="32"/>
          <w:szCs w:val="32"/>
          <w:lang w:val="en-US" w:eastAsia="zh-CN"/>
        </w:rPr>
        <w:t xml:space="preserve"> </w:t>
      </w:r>
      <w:r>
        <w:rPr>
          <w:rFonts w:hint="eastAsia" w:ascii="仿宋_GB2312" w:hAnsi="仿宋_GB2312" w:eastAsia="仿宋_GB2312" w:cs="仿宋_GB2312"/>
          <w:spacing w:val="-6"/>
          <w:sz w:val="32"/>
          <w:szCs w:val="32"/>
        </w:rPr>
        <w:t>行政机关在城市河湖环境保护执法过程中，发现不属于本机关职责范围内的行政违法案件，应当及时移送有管辖权的行政机关处理；管辖机关不明确的，由共同的上一级行政机关确定。</w:t>
      </w:r>
    </w:p>
    <w:p>
      <w:pPr>
        <w:adjustRightInd w:val="0"/>
        <w:snapToGrid w:val="0"/>
        <w:spacing w:line="576" w:lineRule="exact"/>
        <w:ind w:firstLine="616" w:firstLineChars="200"/>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行政机关和司法机关应当建立城市河湖环境保护行政执法和刑事司法案件信息共享平台，互通行政执法和司法案件信息。</w:t>
      </w:r>
    </w:p>
    <w:p>
      <w:pPr>
        <w:adjustRightInd w:val="0"/>
        <w:snapToGrid w:val="0"/>
        <w:spacing w:line="576" w:lineRule="exact"/>
        <w:ind w:firstLine="616" w:firstLineChars="200"/>
        <w:rPr>
          <w:rFonts w:hint="eastAsia" w:ascii="仿宋_GB2312" w:hAnsi="仿宋_GB2312" w:eastAsia="仿宋_GB2312" w:cs="仿宋_GB2312"/>
          <w:spacing w:val="-6"/>
          <w:sz w:val="32"/>
          <w:szCs w:val="32"/>
        </w:rPr>
      </w:pPr>
      <w:r>
        <w:rPr>
          <w:rFonts w:hint="eastAsia" w:ascii="黑体" w:hAnsi="黑体" w:eastAsia="黑体" w:cs="黑体"/>
          <w:spacing w:val="-6"/>
          <w:sz w:val="32"/>
          <w:szCs w:val="32"/>
        </w:rPr>
        <w:t xml:space="preserve">第二十五条 </w:t>
      </w:r>
      <w:r>
        <w:rPr>
          <w:rFonts w:hint="eastAsia" w:ascii="黑体" w:hAnsi="黑体" w:eastAsia="黑体" w:cs="黑体"/>
          <w:spacing w:val="-6"/>
          <w:sz w:val="32"/>
          <w:szCs w:val="32"/>
          <w:lang w:val="en-US" w:eastAsia="zh-CN"/>
        </w:rPr>
        <w:t xml:space="preserve"> </w:t>
      </w:r>
      <w:r>
        <w:rPr>
          <w:rFonts w:hint="eastAsia" w:ascii="仿宋_GB2312" w:hAnsi="仿宋_GB2312" w:eastAsia="仿宋_GB2312" w:cs="仿宋_GB2312"/>
          <w:spacing w:val="-6"/>
          <w:sz w:val="32"/>
          <w:szCs w:val="32"/>
        </w:rPr>
        <w:t>沅江、渐河、马家</w:t>
      </w:r>
      <w:r>
        <w:rPr>
          <w:rFonts w:hint="eastAsia" w:ascii="仿宋_GB2312" w:hAnsi="仿宋_GB2312" w:eastAsia="仿宋_GB2312" w:cs="仿宋_GB2312"/>
          <w:spacing w:val="-6"/>
          <w:sz w:val="32"/>
          <w:szCs w:val="32"/>
        </w:rPr>
        <w:drawing>
          <wp:inline distT="0" distB="0" distL="114300" distR="114300">
            <wp:extent cx="190500" cy="190500"/>
            <wp:effectExtent l="0" t="0" r="0" b="0"/>
            <wp:docPr id="1" name="图片 1" descr="20BB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0BB7"/>
                    <pic:cNvPicPr>
                      <a:picLocks noChangeAspect="1"/>
                    </pic:cNvPicPr>
                  </pic:nvPicPr>
                  <pic:blipFill>
                    <a:blip r:embed="rId6"/>
                    <a:stretch>
                      <a:fillRect/>
                    </a:stretch>
                  </pic:blipFill>
                  <pic:spPr>
                    <a:xfrm>
                      <a:off x="0" y="0"/>
                      <a:ext cx="190500" cy="190500"/>
                    </a:xfrm>
                    <a:prstGeom prst="rect">
                      <a:avLst/>
                    </a:prstGeom>
                    <a:noFill/>
                    <a:ln w="9525">
                      <a:noFill/>
                    </a:ln>
                  </pic:spPr>
                </pic:pic>
              </a:graphicData>
            </a:graphic>
          </wp:inline>
        </w:drawing>
      </w:r>
      <w:r>
        <w:rPr>
          <w:rFonts w:hint="eastAsia" w:ascii="仿宋_GB2312" w:hAnsi="仿宋_GB2312" w:eastAsia="仿宋_GB2312" w:cs="仿宋_GB2312"/>
          <w:spacing w:val="-6"/>
          <w:sz w:val="32"/>
          <w:szCs w:val="32"/>
        </w:rPr>
        <w:t>河、花山河、沾天湖、枉水、东风河等跨行政区域的河湖实行交接断面水质发布制度。市人民政府环境保护部门应当加强水质监测点建设，适时公布交接断面水质信息和监测情况，水质未达到水功能区水质保护目标的，上游地区区（县）人民政府（管理委员会）应当及时查明原因，采取综合治理措施，限期实现交接断面水质达标。市人民政府应当加强监督检查。</w:t>
      </w:r>
    </w:p>
    <w:p>
      <w:pPr>
        <w:pStyle w:val="3"/>
        <w:widowControl w:val="0"/>
        <w:shd w:val="clear" w:color="auto" w:fill="FFFFFF"/>
        <w:adjustRightInd w:val="0"/>
        <w:snapToGrid w:val="0"/>
        <w:spacing w:before="0" w:beforeAutospacing="0" w:after="0" w:afterAutospacing="0" w:line="576" w:lineRule="exact"/>
        <w:jc w:val="center"/>
        <w:rPr>
          <w:rFonts w:hint="eastAsia" w:ascii="黑体" w:hAnsi="黑体" w:eastAsia="黑体" w:cs="黑体"/>
          <w:spacing w:val="-6"/>
          <w:sz w:val="32"/>
          <w:szCs w:val="32"/>
        </w:rPr>
      </w:pPr>
    </w:p>
    <w:p>
      <w:pPr>
        <w:pStyle w:val="3"/>
        <w:widowControl w:val="0"/>
        <w:shd w:val="clear" w:color="auto" w:fill="FFFFFF"/>
        <w:adjustRightInd w:val="0"/>
        <w:snapToGrid w:val="0"/>
        <w:spacing w:before="0" w:beforeAutospacing="0" w:after="0" w:afterAutospacing="0" w:line="576" w:lineRule="exact"/>
        <w:jc w:val="center"/>
        <w:rPr>
          <w:rFonts w:hint="eastAsia" w:ascii="黑体" w:hAnsi="黑体" w:eastAsia="黑体" w:cs="黑体"/>
          <w:spacing w:val="-6"/>
          <w:sz w:val="32"/>
          <w:szCs w:val="32"/>
        </w:rPr>
      </w:pPr>
      <w:r>
        <w:rPr>
          <w:rFonts w:hint="eastAsia" w:ascii="黑体" w:hAnsi="黑体" w:eastAsia="黑体" w:cs="黑体"/>
          <w:spacing w:val="-6"/>
          <w:sz w:val="32"/>
          <w:szCs w:val="32"/>
        </w:rPr>
        <w:t xml:space="preserve">第五章 </w:t>
      </w:r>
      <w:r>
        <w:rPr>
          <w:rFonts w:hint="eastAsia" w:ascii="黑体" w:hAnsi="黑体" w:eastAsia="黑体" w:cs="黑体"/>
          <w:spacing w:val="-6"/>
          <w:sz w:val="32"/>
          <w:szCs w:val="32"/>
          <w:lang w:val="en-US" w:eastAsia="zh-CN"/>
        </w:rPr>
        <w:t xml:space="preserve"> </w:t>
      </w:r>
      <w:r>
        <w:rPr>
          <w:rFonts w:hint="eastAsia" w:ascii="黑体" w:hAnsi="黑体" w:eastAsia="黑体" w:cs="黑体"/>
          <w:spacing w:val="-6"/>
          <w:sz w:val="32"/>
          <w:szCs w:val="32"/>
        </w:rPr>
        <w:t>法律责任</w:t>
      </w:r>
    </w:p>
    <w:p>
      <w:pPr>
        <w:pStyle w:val="3"/>
        <w:widowControl w:val="0"/>
        <w:shd w:val="clear" w:color="auto" w:fill="FFFFFF"/>
        <w:adjustRightInd w:val="0"/>
        <w:snapToGrid w:val="0"/>
        <w:spacing w:before="0" w:beforeAutospacing="0" w:after="0" w:afterAutospacing="0" w:line="576" w:lineRule="exact"/>
        <w:jc w:val="center"/>
        <w:rPr>
          <w:rFonts w:hint="eastAsia" w:ascii="黑体" w:hAnsi="黑体" w:eastAsia="黑体" w:cs="黑体"/>
          <w:spacing w:val="-6"/>
          <w:sz w:val="32"/>
          <w:szCs w:val="32"/>
        </w:rPr>
      </w:pPr>
    </w:p>
    <w:p>
      <w:pPr>
        <w:adjustRightInd w:val="0"/>
        <w:snapToGrid w:val="0"/>
        <w:spacing w:line="576" w:lineRule="exact"/>
        <w:ind w:firstLine="616" w:firstLineChars="200"/>
        <w:rPr>
          <w:rFonts w:hint="eastAsia" w:ascii="仿宋_GB2312" w:hAnsi="仿宋_GB2312" w:eastAsia="仿宋_GB2312" w:cs="仿宋_GB2312"/>
          <w:spacing w:val="-6"/>
          <w:sz w:val="32"/>
          <w:szCs w:val="32"/>
        </w:rPr>
      </w:pPr>
      <w:r>
        <w:rPr>
          <w:rFonts w:hint="eastAsia" w:ascii="黑体" w:hAnsi="黑体" w:eastAsia="黑体" w:cs="黑体"/>
          <w:spacing w:val="-6"/>
          <w:sz w:val="32"/>
          <w:szCs w:val="32"/>
        </w:rPr>
        <w:t xml:space="preserve">第二十六条 </w:t>
      </w:r>
      <w:r>
        <w:rPr>
          <w:rFonts w:hint="eastAsia" w:ascii="黑体" w:hAnsi="黑体" w:eastAsia="黑体" w:cs="黑体"/>
          <w:spacing w:val="-6"/>
          <w:sz w:val="32"/>
          <w:szCs w:val="32"/>
          <w:lang w:val="en-US" w:eastAsia="zh-CN"/>
        </w:rPr>
        <w:t xml:space="preserve"> </w:t>
      </w:r>
      <w:r>
        <w:rPr>
          <w:rFonts w:hint="eastAsia" w:ascii="仿宋_GB2312" w:hAnsi="仿宋_GB2312" w:eastAsia="仿宋_GB2312" w:cs="仿宋_GB2312"/>
          <w:spacing w:val="-6"/>
          <w:sz w:val="32"/>
          <w:szCs w:val="32"/>
        </w:rPr>
        <w:t>违反本条例规定，有下列情形之一的，对主管人员和直接责任人员，由任免机关或者监察机关依法给予行政处分：</w:t>
      </w:r>
    </w:p>
    <w:p>
      <w:pPr>
        <w:adjustRightInd w:val="0"/>
        <w:snapToGrid w:val="0"/>
        <w:spacing w:line="576" w:lineRule="exact"/>
        <w:ind w:firstLine="616" w:firstLineChars="200"/>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（一）在城市蓝线范围内，围湖造田、筑坝拦汊、明河改暗河等填占和分割水体的；</w:t>
      </w:r>
    </w:p>
    <w:p>
      <w:pPr>
        <w:adjustRightInd w:val="0"/>
        <w:snapToGrid w:val="0"/>
        <w:spacing w:line="576" w:lineRule="exact"/>
        <w:ind w:firstLine="616" w:firstLineChars="200"/>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 xml:space="preserve">（二）在城市蓝线范围内，建设除防洪、交通、水质水文监测、通讯、取水、排水、文化景观等公共设施以外建（构）筑物的； </w:t>
      </w:r>
    </w:p>
    <w:p>
      <w:pPr>
        <w:adjustRightInd w:val="0"/>
        <w:snapToGrid w:val="0"/>
        <w:spacing w:line="576" w:lineRule="exact"/>
        <w:ind w:firstLine="616" w:firstLineChars="200"/>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 xml:space="preserve">（三）在城市规划区范围内，建设生活垃圾填埋场，拒不改正的，或者已有的生活垃圾填埋场未能在规定期限内关闭的，或者对垃圾渗滤液未及时采取处理措施导致河湖水体受到严重污染的； </w:t>
      </w:r>
    </w:p>
    <w:p>
      <w:pPr>
        <w:adjustRightInd w:val="0"/>
        <w:snapToGrid w:val="0"/>
        <w:spacing w:line="576" w:lineRule="exact"/>
        <w:ind w:firstLine="616" w:firstLineChars="200"/>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（四）沅江、渐河、马家</w:t>
      </w:r>
      <w:r>
        <w:rPr>
          <w:rFonts w:hint="eastAsia" w:ascii="仿宋_GB2312" w:hAnsi="仿宋_GB2312" w:eastAsia="仿宋_GB2312" w:cs="仿宋_GB2312"/>
          <w:spacing w:val="-6"/>
          <w:sz w:val="32"/>
          <w:szCs w:val="32"/>
        </w:rPr>
        <w:drawing>
          <wp:inline distT="0" distB="0" distL="114300" distR="114300">
            <wp:extent cx="190500" cy="190500"/>
            <wp:effectExtent l="0" t="0" r="0" b="0"/>
            <wp:docPr id="2" name="图片 2" descr="20BB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0BB7"/>
                    <pic:cNvPicPr>
                      <a:picLocks noChangeAspect="1"/>
                    </pic:cNvPicPr>
                  </pic:nvPicPr>
                  <pic:blipFill>
                    <a:blip r:embed="rId6"/>
                    <a:stretch>
                      <a:fillRect/>
                    </a:stretch>
                  </pic:blipFill>
                  <pic:spPr>
                    <a:xfrm>
                      <a:off x="0" y="0"/>
                      <a:ext cx="190500" cy="190500"/>
                    </a:xfrm>
                    <a:prstGeom prst="rect">
                      <a:avLst/>
                    </a:prstGeom>
                    <a:noFill/>
                    <a:ln w="9525">
                      <a:noFill/>
                    </a:ln>
                  </pic:spPr>
                </pic:pic>
              </a:graphicData>
            </a:graphic>
          </wp:inline>
        </w:drawing>
      </w:r>
      <w:r>
        <w:rPr>
          <w:rFonts w:hint="eastAsia" w:ascii="仿宋_GB2312" w:hAnsi="仿宋_GB2312" w:eastAsia="仿宋_GB2312" w:cs="仿宋_GB2312"/>
          <w:spacing w:val="-6"/>
          <w:sz w:val="32"/>
          <w:szCs w:val="32"/>
        </w:rPr>
        <w:t>河、花山河、沾天湖、枉水、东风河等跨行政区域河湖的交接断面水质未达到水功能区水质保护目标，限期整改后仍不能达标，区（县）人民政府（管理委员会）负有责任的；</w:t>
      </w:r>
    </w:p>
    <w:p>
      <w:pPr>
        <w:adjustRightInd w:val="0"/>
        <w:snapToGrid w:val="0"/>
        <w:spacing w:line="576" w:lineRule="exact"/>
        <w:ind w:firstLine="616" w:firstLineChars="200"/>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（五）对不符合条件的单位或者个人违法作出行政许可或者办理批准文件的；</w:t>
      </w:r>
    </w:p>
    <w:p>
      <w:pPr>
        <w:adjustRightInd w:val="0"/>
        <w:snapToGrid w:val="0"/>
        <w:spacing w:line="576" w:lineRule="exact"/>
        <w:ind w:firstLine="616" w:firstLineChars="200"/>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（六）在城市新区的开发和建设过程中，未优先安排排水和污水处理设施建设的；</w:t>
      </w:r>
    </w:p>
    <w:p>
      <w:pPr>
        <w:adjustRightInd w:val="0"/>
        <w:snapToGrid w:val="0"/>
        <w:spacing w:line="576" w:lineRule="exact"/>
        <w:ind w:firstLine="616" w:firstLineChars="200"/>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（七）发现违法行为未依法处理的；</w:t>
      </w:r>
    </w:p>
    <w:p>
      <w:pPr>
        <w:adjustRightInd w:val="0"/>
        <w:snapToGrid w:val="0"/>
        <w:spacing w:line="576" w:lineRule="exact"/>
        <w:ind w:firstLine="616" w:firstLineChars="200"/>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（八）截留、挪用城市河湖环境保护资金和物资的；</w:t>
      </w:r>
    </w:p>
    <w:p>
      <w:pPr>
        <w:adjustRightInd w:val="0"/>
        <w:snapToGrid w:val="0"/>
        <w:spacing w:line="576" w:lineRule="exact"/>
        <w:ind w:firstLine="616" w:firstLineChars="200"/>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（九）有其他玩忽职守、滥用职权、徇私舞弊情形的。</w:t>
      </w:r>
    </w:p>
    <w:p>
      <w:pPr>
        <w:adjustRightInd w:val="0"/>
        <w:snapToGrid w:val="0"/>
        <w:spacing w:line="576" w:lineRule="exact"/>
        <w:ind w:firstLine="616" w:firstLineChars="200"/>
        <w:rPr>
          <w:rFonts w:hint="eastAsia"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个人、企业有第一项、第二项、第三项、第六项情形之一的，由相关部门依法给予行政处罚。</w:t>
      </w:r>
    </w:p>
    <w:p>
      <w:pPr>
        <w:adjustRightInd w:val="0"/>
        <w:snapToGrid w:val="0"/>
        <w:spacing w:line="576" w:lineRule="exact"/>
        <w:ind w:firstLine="616" w:firstLineChars="200"/>
        <w:rPr>
          <w:rFonts w:hint="eastAsia" w:ascii="仿宋_GB2312" w:hAnsi="仿宋_GB2312" w:eastAsia="仿宋_GB2312" w:cs="仿宋_GB2312"/>
          <w:spacing w:val="-6"/>
          <w:sz w:val="32"/>
          <w:szCs w:val="32"/>
        </w:rPr>
      </w:pPr>
      <w:r>
        <w:rPr>
          <w:rFonts w:hint="eastAsia" w:ascii="黑体" w:hAnsi="黑体" w:eastAsia="黑体" w:cs="黑体"/>
          <w:spacing w:val="-6"/>
          <w:sz w:val="32"/>
          <w:szCs w:val="32"/>
        </w:rPr>
        <w:t xml:space="preserve">第二十七条 </w:t>
      </w:r>
      <w:r>
        <w:rPr>
          <w:rFonts w:hint="eastAsia" w:ascii="黑体" w:hAnsi="黑体" w:eastAsia="黑体" w:cs="黑体"/>
          <w:spacing w:val="-6"/>
          <w:sz w:val="32"/>
          <w:szCs w:val="32"/>
          <w:lang w:val="en-US" w:eastAsia="zh-CN"/>
        </w:rPr>
        <w:t xml:space="preserve"> </w:t>
      </w:r>
      <w:r>
        <w:rPr>
          <w:rFonts w:hint="eastAsia" w:ascii="仿宋_GB2312" w:hAnsi="仿宋_GB2312" w:eastAsia="仿宋_GB2312" w:cs="仿宋_GB2312"/>
          <w:spacing w:val="-6"/>
          <w:sz w:val="32"/>
          <w:szCs w:val="32"/>
        </w:rPr>
        <w:t>在城市蓝线范围内，违反本条例规定，露天烧烤食品或者为露天烧烤食品提供场地的，由城市管理部门责令停止违法行为，可以处五百元以上五千元以下的罚款；拒不停止的，没收烧烤工具和违法所得，可以并处五千元以上二万元以下的罚款。从事水上餐饮经营活动的，由环境保护部门会同水行政、交通运输、食品药品监督管理部门责令停业；拒不停业的，没收餐饮经营设施工具，可以并处二万元以上十万元以下的罚款。</w:t>
      </w:r>
    </w:p>
    <w:p>
      <w:pPr>
        <w:adjustRightInd w:val="0"/>
        <w:snapToGrid w:val="0"/>
        <w:spacing w:line="576" w:lineRule="exact"/>
        <w:ind w:firstLine="616" w:firstLineChars="200"/>
        <w:rPr>
          <w:rFonts w:hint="eastAsia" w:ascii="仿宋_GB2312" w:hAnsi="仿宋_GB2312" w:eastAsia="仿宋_GB2312" w:cs="仿宋_GB2312"/>
          <w:spacing w:val="-6"/>
          <w:sz w:val="32"/>
          <w:szCs w:val="32"/>
        </w:rPr>
      </w:pPr>
      <w:r>
        <w:rPr>
          <w:rFonts w:hint="eastAsia" w:ascii="黑体" w:hAnsi="黑体" w:eastAsia="黑体" w:cs="黑体"/>
          <w:spacing w:val="-6"/>
          <w:sz w:val="32"/>
          <w:szCs w:val="32"/>
        </w:rPr>
        <w:t xml:space="preserve">第二十八条 </w:t>
      </w:r>
      <w:r>
        <w:rPr>
          <w:rFonts w:hint="eastAsia" w:ascii="黑体" w:hAnsi="黑体" w:eastAsia="黑体" w:cs="黑体"/>
          <w:spacing w:val="-6"/>
          <w:sz w:val="32"/>
          <w:szCs w:val="32"/>
          <w:lang w:val="en-US" w:eastAsia="zh-CN"/>
        </w:rPr>
        <w:t xml:space="preserve"> </w:t>
      </w:r>
      <w:r>
        <w:rPr>
          <w:rFonts w:hint="eastAsia" w:ascii="仿宋_GB2312" w:hAnsi="仿宋_GB2312" w:eastAsia="仿宋_GB2312" w:cs="仿宋_GB2312"/>
          <w:spacing w:val="-6"/>
          <w:sz w:val="32"/>
          <w:szCs w:val="32"/>
        </w:rPr>
        <w:t>在城市蓝线范围内，违反本条例规定，养殖珍珠，从事网箱、投饵、施肥等养殖经营活动的，由农业部门责令停止违法行为、采取补救措施；造成水体污染的，由环境保护部门处五百元以上五千元以下的罚款；情节较重的，处五千元以上五万元以下的罚款。</w:t>
      </w:r>
    </w:p>
    <w:p>
      <w:pPr>
        <w:adjustRightInd w:val="0"/>
        <w:snapToGrid w:val="0"/>
        <w:spacing w:line="576" w:lineRule="exact"/>
        <w:ind w:firstLine="616" w:firstLineChars="200"/>
        <w:rPr>
          <w:rFonts w:hint="eastAsia" w:ascii="仿宋_GB2312" w:hAnsi="仿宋_GB2312" w:eastAsia="仿宋_GB2312" w:cs="仿宋_GB2312"/>
          <w:spacing w:val="-6"/>
          <w:sz w:val="32"/>
          <w:szCs w:val="32"/>
        </w:rPr>
      </w:pPr>
      <w:r>
        <w:rPr>
          <w:rFonts w:hint="eastAsia" w:ascii="黑体" w:hAnsi="黑体" w:eastAsia="黑体" w:cs="黑体"/>
          <w:spacing w:val="-6"/>
          <w:sz w:val="32"/>
          <w:szCs w:val="32"/>
        </w:rPr>
        <w:t>第二十九条</w:t>
      </w:r>
      <w:r>
        <w:rPr>
          <w:rFonts w:hint="eastAsia" w:ascii="黑体" w:hAnsi="黑体" w:eastAsia="黑体" w:cs="黑体"/>
          <w:spacing w:val="-6"/>
          <w:sz w:val="32"/>
          <w:szCs w:val="32"/>
          <w:lang w:val="en-US" w:eastAsia="zh-CN"/>
        </w:rPr>
        <w:t xml:space="preserve"> </w:t>
      </w:r>
      <w:r>
        <w:rPr>
          <w:rFonts w:hint="eastAsia" w:ascii="黑体" w:hAnsi="黑体" w:eastAsia="黑体" w:cs="黑体"/>
          <w:spacing w:val="-6"/>
          <w:sz w:val="32"/>
          <w:szCs w:val="32"/>
        </w:rPr>
        <w:t xml:space="preserve"> </w:t>
      </w:r>
      <w:r>
        <w:rPr>
          <w:rFonts w:hint="eastAsia" w:ascii="仿宋_GB2312" w:hAnsi="仿宋_GB2312" w:eastAsia="仿宋_GB2312" w:cs="仿宋_GB2312"/>
          <w:spacing w:val="-6"/>
          <w:sz w:val="32"/>
          <w:szCs w:val="32"/>
        </w:rPr>
        <w:t>在城市蓝线范围内，违反本条例规定，投放有害水生生物的，由农业部门责令改正。设置洗车场的，由城市管理部门责令停止违法行为。</w:t>
      </w:r>
    </w:p>
    <w:p>
      <w:pPr>
        <w:adjustRightInd w:val="0"/>
        <w:snapToGrid w:val="0"/>
        <w:spacing w:line="576" w:lineRule="exact"/>
        <w:ind w:firstLine="616" w:firstLineChars="200"/>
        <w:rPr>
          <w:rFonts w:hint="eastAsia" w:ascii="仿宋_GB2312" w:hAnsi="仿宋_GB2312" w:eastAsia="仿宋_GB2312" w:cs="仿宋_GB2312"/>
          <w:spacing w:val="-6"/>
          <w:sz w:val="32"/>
          <w:szCs w:val="32"/>
        </w:rPr>
      </w:pPr>
      <w:r>
        <w:rPr>
          <w:rFonts w:hint="eastAsia" w:ascii="黑体" w:hAnsi="黑体" w:eastAsia="黑体" w:cs="黑体"/>
          <w:spacing w:val="-6"/>
          <w:sz w:val="32"/>
          <w:szCs w:val="32"/>
        </w:rPr>
        <w:t>第三十条</w:t>
      </w:r>
      <w:r>
        <w:rPr>
          <w:rFonts w:hint="eastAsia" w:ascii="黑体" w:hAnsi="黑体" w:eastAsia="黑体" w:cs="黑体"/>
          <w:spacing w:val="-6"/>
          <w:sz w:val="32"/>
          <w:szCs w:val="32"/>
          <w:lang w:val="en-US" w:eastAsia="zh-CN"/>
        </w:rPr>
        <w:t xml:space="preserve"> </w:t>
      </w:r>
      <w:r>
        <w:rPr>
          <w:rFonts w:hint="eastAsia" w:ascii="黑体" w:hAnsi="黑体" w:eastAsia="黑体" w:cs="黑体"/>
          <w:spacing w:val="-6"/>
          <w:sz w:val="32"/>
          <w:szCs w:val="32"/>
        </w:rPr>
        <w:t xml:space="preserve"> </w:t>
      </w:r>
      <w:r>
        <w:rPr>
          <w:rFonts w:hint="eastAsia" w:ascii="仿宋_GB2312" w:hAnsi="仿宋_GB2312" w:eastAsia="仿宋_GB2312" w:cs="仿宋_GB2312"/>
          <w:spacing w:val="-6"/>
          <w:sz w:val="32"/>
          <w:szCs w:val="32"/>
        </w:rPr>
        <w:t>施工单位违反本条例第十四条规定，未及时清除施工便道、施工围堰以及其他施工设施和废弃物的，由城市管理部门责令限期改正，可以处二万元以上五万元以下的罚款。</w:t>
      </w:r>
    </w:p>
    <w:p>
      <w:pPr>
        <w:adjustRightInd w:val="0"/>
        <w:snapToGrid w:val="0"/>
        <w:spacing w:line="576" w:lineRule="exact"/>
        <w:ind w:firstLine="616" w:firstLineChars="200"/>
        <w:rPr>
          <w:rFonts w:hint="eastAsia" w:ascii="仿宋_GB2312" w:hAnsi="仿宋_GB2312" w:eastAsia="仿宋_GB2312" w:cs="仿宋_GB2312"/>
          <w:spacing w:val="-6"/>
          <w:sz w:val="32"/>
          <w:szCs w:val="32"/>
        </w:rPr>
      </w:pPr>
      <w:r>
        <w:rPr>
          <w:rFonts w:hint="eastAsia" w:ascii="黑体" w:hAnsi="黑体" w:eastAsia="黑体" w:cs="黑体"/>
          <w:spacing w:val="-6"/>
          <w:sz w:val="32"/>
          <w:szCs w:val="32"/>
        </w:rPr>
        <w:t xml:space="preserve">第三十一条 </w:t>
      </w:r>
      <w:r>
        <w:rPr>
          <w:rFonts w:hint="eastAsia" w:ascii="黑体" w:hAnsi="黑体" w:eastAsia="黑体" w:cs="黑体"/>
          <w:spacing w:val="-6"/>
          <w:sz w:val="32"/>
          <w:szCs w:val="32"/>
          <w:lang w:val="en-US" w:eastAsia="zh-CN"/>
        </w:rPr>
        <w:t xml:space="preserve"> </w:t>
      </w:r>
      <w:r>
        <w:rPr>
          <w:rFonts w:hint="eastAsia" w:ascii="仿宋_GB2312" w:hAnsi="仿宋_GB2312" w:eastAsia="仿宋_GB2312" w:cs="仿宋_GB2312"/>
          <w:spacing w:val="-6"/>
          <w:sz w:val="32"/>
          <w:szCs w:val="32"/>
        </w:rPr>
        <w:t>违反本条例规定，构成犯罪的，依法追究刑事责任。</w:t>
      </w:r>
    </w:p>
    <w:p>
      <w:pPr>
        <w:pStyle w:val="3"/>
        <w:widowControl w:val="0"/>
        <w:shd w:val="clear" w:color="auto" w:fill="FFFFFF"/>
        <w:adjustRightInd w:val="0"/>
        <w:snapToGrid w:val="0"/>
        <w:spacing w:before="0" w:beforeAutospacing="0" w:after="0" w:afterAutospacing="0" w:line="576" w:lineRule="exact"/>
        <w:jc w:val="center"/>
        <w:rPr>
          <w:rFonts w:hint="eastAsia" w:ascii="黑体" w:hAnsi="黑体" w:eastAsia="黑体" w:cs="黑体"/>
          <w:spacing w:val="-6"/>
          <w:sz w:val="32"/>
          <w:szCs w:val="32"/>
        </w:rPr>
      </w:pPr>
    </w:p>
    <w:p>
      <w:pPr>
        <w:pStyle w:val="3"/>
        <w:widowControl w:val="0"/>
        <w:shd w:val="clear" w:color="auto" w:fill="FFFFFF"/>
        <w:adjustRightInd w:val="0"/>
        <w:snapToGrid w:val="0"/>
        <w:spacing w:before="0" w:beforeAutospacing="0" w:after="0" w:afterAutospacing="0" w:line="576" w:lineRule="exact"/>
        <w:jc w:val="center"/>
        <w:rPr>
          <w:rFonts w:hint="eastAsia" w:ascii="黑体" w:hAnsi="黑体" w:eastAsia="黑体" w:cs="黑体"/>
          <w:spacing w:val="-6"/>
          <w:sz w:val="32"/>
          <w:szCs w:val="32"/>
        </w:rPr>
      </w:pPr>
      <w:r>
        <w:rPr>
          <w:rFonts w:hint="eastAsia" w:ascii="黑体" w:hAnsi="黑体" w:eastAsia="黑体" w:cs="黑体"/>
          <w:spacing w:val="-6"/>
          <w:sz w:val="32"/>
          <w:szCs w:val="32"/>
        </w:rPr>
        <w:t xml:space="preserve">第六章 </w:t>
      </w:r>
      <w:r>
        <w:rPr>
          <w:rFonts w:hint="eastAsia" w:ascii="黑体" w:hAnsi="黑体" w:eastAsia="黑体" w:cs="黑体"/>
          <w:spacing w:val="-6"/>
          <w:sz w:val="32"/>
          <w:szCs w:val="32"/>
          <w:lang w:val="en-US" w:eastAsia="zh-CN"/>
        </w:rPr>
        <w:t xml:space="preserve"> </w:t>
      </w:r>
      <w:r>
        <w:rPr>
          <w:rFonts w:hint="eastAsia" w:ascii="黑体" w:hAnsi="黑体" w:eastAsia="黑体" w:cs="黑体"/>
          <w:spacing w:val="-6"/>
          <w:sz w:val="32"/>
          <w:szCs w:val="32"/>
        </w:rPr>
        <w:t>附则</w:t>
      </w:r>
    </w:p>
    <w:p>
      <w:pPr>
        <w:pStyle w:val="3"/>
        <w:widowControl w:val="0"/>
        <w:shd w:val="clear" w:color="auto" w:fill="FFFFFF"/>
        <w:adjustRightInd w:val="0"/>
        <w:snapToGrid w:val="0"/>
        <w:spacing w:before="0" w:beforeAutospacing="0" w:after="0" w:afterAutospacing="0" w:line="576" w:lineRule="exact"/>
        <w:jc w:val="center"/>
        <w:rPr>
          <w:rFonts w:hint="eastAsia" w:ascii="黑体" w:hAnsi="黑体" w:eastAsia="黑体" w:cs="黑体"/>
          <w:spacing w:val="-6"/>
          <w:sz w:val="32"/>
          <w:szCs w:val="32"/>
        </w:rPr>
      </w:pPr>
    </w:p>
    <w:p>
      <w:pPr>
        <w:adjustRightInd w:val="0"/>
        <w:snapToGrid w:val="0"/>
        <w:spacing w:line="576" w:lineRule="exact"/>
        <w:ind w:firstLine="616" w:firstLineChars="200"/>
        <w:rPr>
          <w:rFonts w:hint="eastAsia" w:ascii="仿宋_GB2312" w:hAnsi="仿宋_GB2312" w:eastAsia="仿宋_GB2312" w:cs="仿宋_GB2312"/>
          <w:spacing w:val="-6"/>
          <w:sz w:val="32"/>
          <w:szCs w:val="32"/>
        </w:rPr>
      </w:pPr>
      <w:r>
        <w:rPr>
          <w:rFonts w:hint="eastAsia" w:ascii="黑体" w:hAnsi="黑体" w:eastAsia="黑体" w:cs="黑体"/>
          <w:spacing w:val="-6"/>
          <w:sz w:val="32"/>
          <w:szCs w:val="32"/>
        </w:rPr>
        <w:t xml:space="preserve">第三十二条 </w:t>
      </w:r>
      <w:r>
        <w:rPr>
          <w:rFonts w:hint="eastAsia" w:ascii="黑体" w:hAnsi="黑体" w:eastAsia="黑体" w:cs="黑体"/>
          <w:spacing w:val="-6"/>
          <w:sz w:val="32"/>
          <w:szCs w:val="32"/>
          <w:lang w:val="en-US" w:eastAsia="zh-CN"/>
        </w:rPr>
        <w:t xml:space="preserve"> </w:t>
      </w:r>
      <w:r>
        <w:rPr>
          <w:rFonts w:hint="eastAsia" w:ascii="仿宋_GB2312" w:hAnsi="仿宋_GB2312" w:eastAsia="仿宋_GB2312" w:cs="仿宋_GB2312"/>
          <w:spacing w:val="-6"/>
          <w:sz w:val="32"/>
          <w:szCs w:val="32"/>
        </w:rPr>
        <w:t>本条例所称城市蓝线，是指城市规划确定的江、河、湖、库、渠和湿地等城市地表水体保护和控制的地域界线。</w:t>
      </w:r>
    </w:p>
    <w:p>
      <w:pPr>
        <w:adjustRightInd w:val="0"/>
        <w:snapToGrid w:val="0"/>
        <w:spacing w:line="576" w:lineRule="exact"/>
        <w:ind w:firstLine="616" w:firstLineChars="200"/>
      </w:pPr>
      <w:r>
        <w:rPr>
          <w:rFonts w:hint="eastAsia" w:ascii="黑体" w:hAnsi="黑体" w:eastAsia="黑体" w:cs="黑体"/>
          <w:spacing w:val="-6"/>
          <w:sz w:val="32"/>
          <w:szCs w:val="32"/>
        </w:rPr>
        <w:t xml:space="preserve">第三十三条 </w:t>
      </w:r>
      <w:r>
        <w:rPr>
          <w:rFonts w:hint="eastAsia" w:ascii="黑体" w:hAnsi="黑体" w:eastAsia="黑体" w:cs="黑体"/>
          <w:spacing w:val="-6"/>
          <w:sz w:val="32"/>
          <w:szCs w:val="32"/>
          <w:lang w:val="en-US" w:eastAsia="zh-CN"/>
        </w:rPr>
        <w:t xml:space="preserve"> </w:t>
      </w:r>
      <w:r>
        <w:rPr>
          <w:rFonts w:hint="eastAsia" w:ascii="仿宋_GB2312" w:hAnsi="仿宋_GB2312" w:eastAsia="仿宋_GB2312" w:cs="仿宋_GB2312"/>
          <w:spacing w:val="-6"/>
          <w:sz w:val="32"/>
          <w:szCs w:val="32"/>
        </w:rPr>
        <w:t>本条例自</w:t>
      </w:r>
      <w:r>
        <w:rPr>
          <w:rFonts w:hint="eastAsia" w:ascii="仿宋_GB2312" w:hAnsi="仿宋_GB2312" w:eastAsia="仿宋_GB2312" w:cs="仿宋_GB2312"/>
          <w:spacing w:val="-6"/>
          <w:sz w:val="32"/>
          <w:szCs w:val="32"/>
          <w:lang w:val="en-US" w:eastAsia="zh-CN"/>
        </w:rPr>
        <w:t>2017</w:t>
      </w:r>
      <w:r>
        <w:rPr>
          <w:rFonts w:hint="eastAsia" w:ascii="仿宋_GB2312" w:hAnsi="仿宋_GB2312" w:eastAsia="仿宋_GB2312" w:cs="仿宋_GB2312"/>
          <w:spacing w:val="-6"/>
          <w:sz w:val="32"/>
          <w:szCs w:val="32"/>
        </w:rPr>
        <w:t>年</w:t>
      </w:r>
      <w:r>
        <w:rPr>
          <w:rFonts w:hint="eastAsia" w:ascii="仿宋_GB2312" w:hAnsi="仿宋_GB2312" w:eastAsia="仿宋_GB2312" w:cs="仿宋_GB2312"/>
          <w:spacing w:val="-6"/>
          <w:sz w:val="32"/>
          <w:szCs w:val="32"/>
          <w:lang w:val="en-US" w:eastAsia="zh-CN"/>
        </w:rPr>
        <w:t>10</w:t>
      </w:r>
      <w:r>
        <w:rPr>
          <w:rFonts w:hint="eastAsia" w:ascii="仿宋_GB2312" w:hAnsi="仿宋_GB2312" w:eastAsia="仿宋_GB2312" w:cs="仿宋_GB2312"/>
          <w:spacing w:val="-6"/>
          <w:sz w:val="32"/>
          <w:szCs w:val="32"/>
        </w:rPr>
        <w:t>月</w:t>
      </w:r>
      <w:r>
        <w:rPr>
          <w:rFonts w:hint="eastAsia" w:ascii="仿宋_GB2312" w:hAnsi="仿宋_GB2312" w:eastAsia="仿宋_GB2312" w:cs="仿宋_GB2312"/>
          <w:spacing w:val="-6"/>
          <w:sz w:val="32"/>
          <w:szCs w:val="32"/>
          <w:lang w:val="en-US" w:eastAsia="zh-CN"/>
        </w:rPr>
        <w:t>1</w:t>
      </w:r>
      <w:r>
        <w:rPr>
          <w:rFonts w:hint="eastAsia" w:ascii="仿宋_GB2312" w:hAnsi="仿宋_GB2312" w:eastAsia="仿宋_GB2312" w:cs="仿宋_GB2312"/>
          <w:spacing w:val="-6"/>
          <w:sz w:val="32"/>
          <w:szCs w:val="32"/>
        </w:rPr>
        <w:t>日起施行。</w:t>
      </w:r>
      <w:bookmarkStart w:id="0" w:name="_GoBack"/>
      <w:bookmarkEnd w:id="0"/>
    </w:p>
    <w:sectPr>
      <w:footerReference r:id="rId3" w:type="default"/>
      <w:footerReference r:id="rId4" w:type="even"/>
      <w:pgSz w:w="11906" w:h="16838"/>
      <w:pgMar w:top="2098" w:right="1474" w:bottom="1984" w:left="1587" w:header="851" w:footer="1588" w:gutter="0"/>
      <w:pgNumType w:start="1"/>
      <w:cols w:space="720"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 w:name="方正楷体简体">
    <w:panose1 w:val="02010601030101010101"/>
    <w:charset w:val="86"/>
    <w:family w:val="auto"/>
    <w:pitch w:val="default"/>
    <w:sig w:usb0="00000001" w:usb1="080E0000" w:usb2="00000000" w:usb3="00000000" w:csb0="00040000" w:csb1="00000000"/>
  </w:font>
  <w:font w:name="方正仿宋简体">
    <w:panose1 w:val="02010601030101010101"/>
    <w:charset w:val="86"/>
    <w:family w:val="auto"/>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left="210" w:leftChars="100" w:right="210" w:rightChars="100"/>
      <w:rPr>
        <w:rStyle w:val="5"/>
        <w:rFonts w:hint="eastAsia" w:ascii="宋体" w:hAnsi="宋体"/>
        <w:sz w:val="28"/>
        <w:szCs w:val="28"/>
      </w:rPr>
    </w:pPr>
    <w:r>
      <w:rPr>
        <w:rStyle w:val="5"/>
        <w:rFonts w:hint="eastAsia" w:ascii="宋体" w:hAnsi="宋体"/>
        <w:sz w:val="28"/>
        <w:szCs w:val="28"/>
      </w:rPr>
      <w:t xml:space="preserve">— </w:t>
    </w:r>
    <w:r>
      <w:rPr>
        <w:rFonts w:ascii="宋体" w:hAnsi="宋体"/>
        <w:sz w:val="28"/>
        <w:szCs w:val="28"/>
      </w:rPr>
      <w:fldChar w:fldCharType="begin"/>
    </w:r>
    <w:r>
      <w:rPr>
        <w:rStyle w:val="5"/>
        <w:rFonts w:ascii="宋体" w:hAnsi="宋体"/>
        <w:sz w:val="28"/>
        <w:szCs w:val="28"/>
      </w:rPr>
      <w:instrText xml:space="preserve">PAGE  </w:instrText>
    </w:r>
    <w:r>
      <w:rPr>
        <w:rFonts w:ascii="宋体" w:hAnsi="宋体"/>
        <w:sz w:val="28"/>
        <w:szCs w:val="28"/>
      </w:rPr>
      <w:fldChar w:fldCharType="separate"/>
    </w:r>
    <w:r>
      <w:rPr>
        <w:rStyle w:val="5"/>
        <w:rFonts w:ascii="宋体" w:hAnsi="宋体"/>
        <w:sz w:val="28"/>
        <w:szCs w:val="28"/>
      </w:rPr>
      <w:t>2</w:t>
    </w:r>
    <w:r>
      <w:rPr>
        <w:rFonts w:ascii="宋体" w:hAnsi="宋体"/>
        <w:sz w:val="28"/>
        <w:szCs w:val="28"/>
      </w:rPr>
      <w:fldChar w:fldCharType="end"/>
    </w:r>
    <w:r>
      <w:rPr>
        <w:rStyle w:val="5"/>
        <w:rFonts w:hint="eastAsia" w:ascii="宋体" w:hAnsi="宋体"/>
        <w:sz w:val="28"/>
        <w:szCs w:val="28"/>
      </w:rPr>
      <w:t xml:space="preserve"> —</w:t>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Pr>
    </w:pPr>
    <w:r>
      <w:fldChar w:fldCharType="begin"/>
    </w:r>
    <w:r>
      <w:rPr>
        <w:rStyle w:val="5"/>
      </w:rPr>
      <w:instrText xml:space="preserve">PAGE  </w:instrText>
    </w:r>
    <w:r>
      <w:fldChar w:fldCharType="end"/>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FB05BA"/>
    <w:rsid w:val="07FB05BA"/>
    <w:rsid w:val="12FD3DB1"/>
    <w:rsid w:val="28C44C93"/>
    <w:rsid w:val="2D63291F"/>
    <w:rsid w:val="3B0B73A0"/>
    <w:rsid w:val="3F2827A0"/>
    <w:rsid w:val="43E860D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Normal (Web)"/>
    <w:basedOn w:val="1"/>
    <w:qFormat/>
    <w:uiPriority w:val="0"/>
    <w:pPr>
      <w:widowControl/>
      <w:spacing w:before="100" w:beforeAutospacing="1" w:after="100" w:afterAutospacing="1"/>
      <w:jc w:val="left"/>
    </w:pPr>
    <w:rPr>
      <w:rFonts w:ascii="宋体" w:hAnsi="宋体" w:cs="宋体"/>
      <w:kern w:val="0"/>
      <w:sz w:val="24"/>
    </w:rPr>
  </w:style>
  <w:style w:type="character" w:styleId="5">
    <w:name w:val="page number"/>
    <w:basedOn w:val="4"/>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2017-06-22T01:01:00Z</dcterms:created>
  <dc:creator>lenovo</dc:creator>
  <cp:lastModifiedBy>lenovo</cp:lastModifiedBy>
  <dcterms:modified xsi:type="dcterms:W3CDTF">2017-06-26T03:55:29Z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2052-10.1.0.6489</vt:lpwstr>
  </property>
</Properties>
</file>