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kern w:val="2"/>
          <w:sz w:val="44"/>
          <w:szCs w:val="44"/>
          <w:lang w:val="en-US" w:eastAsia="zh-CN"/>
        </w:rPr>
      </w:pPr>
    </w:p>
    <w:p>
      <w:pPr>
        <w:pStyle w:val="5"/>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kern w:val="2"/>
          <w:sz w:val="44"/>
          <w:szCs w:val="44"/>
          <w:lang w:val="en-US" w:eastAsia="zh-CN"/>
        </w:rPr>
      </w:pPr>
    </w:p>
    <w:p>
      <w:pPr>
        <w:pStyle w:val="5"/>
        <w:keepNext w:val="0"/>
        <w:keepLines w:val="0"/>
        <w:pageBreakBefore w:val="0"/>
        <w:widowControl w:val="0"/>
        <w:kinsoku/>
        <w:wordWrap/>
        <w:overflowPunct/>
        <w:topLinePunct w:val="0"/>
        <w:autoSpaceDE/>
        <w:autoSpaceDN/>
        <w:bidi w:val="0"/>
        <w:adjustRightInd/>
        <w:snapToGrid/>
        <w:spacing w:line="590" w:lineRule="exact"/>
        <w:ind w:left="0" w:leftChars="0" w:right="0" w:rightChars="0" w:firstLine="0" w:firstLineChars="0"/>
        <w:jc w:val="center"/>
        <w:textAlignment w:val="auto"/>
        <w:outlineLvl w:val="9"/>
        <w:rPr>
          <w:rFonts w:hint="eastAsia" w:ascii="宋体" w:hAnsi="宋体" w:eastAsia="宋体" w:cs="宋体"/>
          <w:kern w:val="2"/>
          <w:sz w:val="44"/>
          <w:szCs w:val="44"/>
          <w:lang w:val="en-US" w:eastAsia="zh-CN"/>
        </w:rPr>
      </w:pPr>
      <w:r>
        <w:rPr>
          <w:rFonts w:hint="eastAsia" w:ascii="宋体" w:hAnsi="宋体" w:eastAsia="宋体" w:cs="宋体"/>
          <w:kern w:val="2"/>
          <w:sz w:val="44"/>
          <w:szCs w:val="44"/>
          <w:lang w:val="en-US" w:eastAsia="zh-CN"/>
        </w:rPr>
        <w:t>广东省中新广州知识城条例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highlight w:val="none"/>
          <w:lang w:val="en-US" w:eastAsia="zh-CN"/>
        </w:rPr>
      </w:pPr>
      <w:r>
        <w:rPr>
          <w:rFonts w:hint="eastAsia" w:ascii="宋体" w:hAnsi="宋体" w:eastAsia="楷体_GB2312" w:cs="楷体_GB2312"/>
          <w:sz w:val="32"/>
          <w:highlight w:val="none"/>
          <w:lang w:val="en-US" w:eastAsia="zh-CN"/>
        </w:rPr>
        <w:t>（2022年1月16日广东省第十三届人民代表大会常务委员会第三十九次会议通过）</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目    录</w:t>
      </w:r>
      <w:bookmarkStart w:id="0" w:name="_GoBack"/>
      <w:bookmarkEnd w:id="0"/>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楷体_GB2312" w:cs="楷体_GB2312"/>
          <w:sz w:val="32"/>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第一章  总则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第二章  科技创新与知识产权保护</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第三章  知识密集型产业发展与人才支撑</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第四章  对外开放与合作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lang w:val="en-US" w:eastAsia="zh-CN"/>
        </w:rPr>
      </w:pPr>
      <w:r>
        <w:rPr>
          <w:rFonts w:hint="eastAsia" w:ascii="宋体" w:hAnsi="宋体" w:eastAsia="楷体_GB2312" w:cs="楷体_GB2312"/>
          <w:sz w:val="32"/>
          <w:lang w:val="en-US" w:eastAsia="zh-CN"/>
        </w:rPr>
        <w:t>第五章  服务与保障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left"/>
        <w:textAlignment w:val="auto"/>
        <w:outlineLvl w:val="9"/>
        <w:rPr>
          <w:rFonts w:hint="eastAsia" w:ascii="宋体" w:hAnsi="宋体" w:eastAsia="楷体_GB2312" w:cs="楷体_GB2312"/>
          <w:sz w:val="32"/>
          <w:highlight w:val="none"/>
          <w:lang w:val="en-US" w:eastAsia="zh-CN"/>
        </w:rPr>
      </w:pPr>
      <w:r>
        <w:rPr>
          <w:rFonts w:hint="eastAsia" w:ascii="宋体" w:hAnsi="宋体" w:eastAsia="楷体_GB2312" w:cs="楷体_GB2312"/>
          <w:sz w:val="32"/>
          <w:lang w:val="en-US" w:eastAsia="zh-CN"/>
        </w:rPr>
        <w:t>第六章  附则</w:t>
      </w:r>
    </w:p>
    <w:p>
      <w:pPr>
        <w:keepNext w:val="0"/>
        <w:keepLines w:val="0"/>
        <w:pageBreakBefore w:val="0"/>
        <w:widowControl w:val="0"/>
        <w:kinsoku/>
        <w:wordWrap/>
        <w:overflowPunct/>
        <w:topLinePunct w:val="0"/>
        <w:autoSpaceDE/>
        <w:autoSpaceDN/>
        <w:bidi w:val="0"/>
        <w:snapToGrid/>
        <w:spacing w:line="590" w:lineRule="exact"/>
        <w:ind w:left="0" w:leftChars="0"/>
        <w:textAlignment w:val="auto"/>
        <w:rPr>
          <w:rFonts w:hint="eastAsia" w:ascii="宋体" w:hAnsi="宋体" w:eastAsia="仿宋_GB2312"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第一章  总　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第一条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为了推动中新广州知识城建设发展，打造具有全球影响力的国家知识中心，根据有关法律、行政法规，结合本省实际，制定本条例。</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本条例适用于</w:t>
      </w:r>
      <w:r>
        <w:rPr>
          <w:rFonts w:hint="eastAsia" w:ascii="宋体" w:hAnsi="宋体" w:eastAsia="仿宋_GB2312" w:cs="黑体"/>
          <w:sz w:val="32"/>
          <w:highlight w:val="none"/>
          <w:lang w:val="en-US" w:eastAsia="zh-CN"/>
        </w:rPr>
        <w:t>中新广州</w:t>
      </w:r>
      <w:r>
        <w:rPr>
          <w:rFonts w:hint="eastAsia" w:ascii="宋体" w:hAnsi="宋体" w:eastAsia="仿宋_GB2312" w:cs="Times New Roman"/>
          <w:sz w:val="32"/>
          <w:highlight w:val="none"/>
          <w:lang w:val="en-US" w:eastAsia="zh-CN"/>
        </w:rPr>
        <w:t>知识城</w:t>
      </w:r>
      <w:r>
        <w:rPr>
          <w:rFonts w:hint="eastAsia" w:ascii="宋体" w:hAnsi="宋体" w:eastAsia="仿宋_GB2312" w:cs="黑体"/>
          <w:sz w:val="32"/>
          <w:highlight w:val="none"/>
          <w:lang w:val="en-US" w:eastAsia="zh-CN"/>
        </w:rPr>
        <w:t>（以下简称知识城）</w:t>
      </w:r>
      <w:r>
        <w:rPr>
          <w:rFonts w:hint="eastAsia" w:ascii="宋体" w:hAnsi="宋体" w:eastAsia="仿宋_GB2312" w:cs="Times New Roman"/>
          <w:sz w:val="32"/>
          <w:highlight w:val="none"/>
          <w:lang w:val="en-US" w:eastAsia="zh-CN"/>
        </w:rPr>
        <w:t>的开发建设、开放合作和服务保障等活动。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知识城范围包括</w:t>
      </w:r>
      <w:r>
        <w:rPr>
          <w:rFonts w:hint="eastAsia" w:ascii="宋体" w:hAnsi="宋体" w:eastAsia="仿宋_GB2312" w:cs="黑体"/>
          <w:sz w:val="32"/>
          <w:highlight w:val="none"/>
          <w:lang w:val="en-US" w:eastAsia="zh-CN"/>
        </w:rPr>
        <w:t>《中新广州</w:t>
      </w:r>
      <w:r>
        <w:rPr>
          <w:rFonts w:hint="eastAsia" w:ascii="宋体" w:hAnsi="宋体" w:eastAsia="仿宋_GB2312" w:cs="Times New Roman"/>
          <w:sz w:val="32"/>
          <w:highlight w:val="none"/>
          <w:lang w:val="en-US" w:eastAsia="zh-CN"/>
        </w:rPr>
        <w:t>知识城总体发展规划</w:t>
      </w:r>
      <w:r>
        <w:rPr>
          <w:rFonts w:hint="eastAsia" w:ascii="宋体" w:hAnsi="宋体" w:eastAsia="仿宋_GB2312" w:cs="黑体"/>
          <w:sz w:val="32"/>
          <w:highlight w:val="none"/>
          <w:lang w:val="en-US" w:eastAsia="zh-CN"/>
        </w:rPr>
        <w:t>（2020-2035年）》（以下简称知识城总体发展规划）</w:t>
      </w:r>
      <w:r>
        <w:rPr>
          <w:rFonts w:hint="eastAsia" w:ascii="宋体" w:hAnsi="宋体" w:eastAsia="仿宋_GB2312" w:cs="Times New Roman"/>
          <w:sz w:val="32"/>
          <w:highlight w:val="none"/>
          <w:lang w:val="en-US" w:eastAsia="zh-CN"/>
        </w:rPr>
        <w:t>确定的区域和经批准的扩展区域。</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知识城着力打造知识创造新高地、国际人才自由港、湾区创新策源地、开放合作示范区，成为粤港澳大湾区高质量发展重要引擎。</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第四条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省人民政府应当制定落实知识城总体发展规划的</w:t>
      </w:r>
      <w:r>
        <w:rPr>
          <w:rFonts w:hint="eastAsia" w:ascii="宋体" w:hAnsi="宋体" w:eastAsia="仿宋_GB2312" w:cs="黑体"/>
          <w:sz w:val="32"/>
          <w:highlight w:val="none"/>
          <w:lang w:val="en-US" w:eastAsia="zh-CN"/>
        </w:rPr>
        <w:t>实施方案</w:t>
      </w:r>
      <w:r>
        <w:rPr>
          <w:rFonts w:hint="eastAsia" w:ascii="宋体" w:hAnsi="宋体" w:eastAsia="仿宋_GB2312" w:cs="Times New Roman"/>
          <w:sz w:val="32"/>
          <w:highlight w:val="none"/>
          <w:lang w:val="en-US" w:eastAsia="zh-CN"/>
        </w:rPr>
        <w:t>，协调解决知识城建设发展中的重大问题</w:t>
      </w:r>
      <w:r>
        <w:rPr>
          <w:rFonts w:hint="eastAsia" w:ascii="宋体" w:hAnsi="宋体" w:eastAsia="仿宋_GB2312" w:cs="黑体"/>
          <w:sz w:val="32"/>
          <w:highlight w:val="none"/>
          <w:lang w:val="en-US" w:eastAsia="zh-CN"/>
        </w:rPr>
        <w:t>，支持知识城建设发展</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省人民政府商务主管部门应当会同有关单位，对知识城总体发展规划实施情况进行跟踪分析和督促指导，推动目标任务落实。</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省人民政府发展改革、科技、财政、人力资源社会保障、自然资源、交通运输、市场</w:t>
      </w:r>
      <w:r>
        <w:rPr>
          <w:rFonts w:hint="eastAsia" w:ascii="宋体" w:hAnsi="宋体" w:cs="Times New Roman"/>
          <w:sz w:val="32"/>
          <w:highlight w:val="none"/>
          <w:lang w:val="en-US" w:eastAsia="zh-CN"/>
        </w:rPr>
        <w:t>监督管理</w:t>
      </w:r>
      <w:r>
        <w:rPr>
          <w:rFonts w:hint="eastAsia" w:ascii="宋体" w:hAnsi="宋体" w:eastAsia="仿宋_GB2312" w:cs="Times New Roman"/>
          <w:sz w:val="32"/>
          <w:highlight w:val="none"/>
          <w:lang w:val="en-US" w:eastAsia="zh-CN"/>
        </w:rPr>
        <w:t>等相关部门应当按照职责分工</w:t>
      </w:r>
      <w:r>
        <w:rPr>
          <w:rFonts w:hint="eastAsia" w:ascii="宋体" w:hAnsi="宋体" w:eastAsia="仿宋_GB2312" w:cs="Times New Roman"/>
          <w:i w:val="0"/>
          <w:iCs w:val="0"/>
          <w:sz w:val="32"/>
          <w:highlight w:val="none"/>
          <w:u w:val="none"/>
          <w:lang w:val="en-US" w:eastAsia="zh-CN"/>
        </w:rPr>
        <w:t>，研究制定</w:t>
      </w:r>
      <w:r>
        <w:rPr>
          <w:rFonts w:hint="eastAsia" w:ascii="宋体" w:hAnsi="宋体" w:eastAsia="仿宋_GB2312" w:cs="Times New Roman"/>
          <w:sz w:val="32"/>
          <w:highlight w:val="none"/>
          <w:lang w:val="en-US" w:eastAsia="zh-CN"/>
        </w:rPr>
        <w:t>支持知识城</w:t>
      </w:r>
      <w:r>
        <w:rPr>
          <w:rFonts w:hint="eastAsia" w:ascii="宋体" w:hAnsi="宋体" w:eastAsia="仿宋_GB2312" w:cs="黑体"/>
          <w:sz w:val="32"/>
          <w:highlight w:val="none"/>
          <w:lang w:val="en-US" w:eastAsia="zh-CN"/>
        </w:rPr>
        <w:t>建设</w:t>
      </w:r>
      <w:r>
        <w:rPr>
          <w:rFonts w:hint="eastAsia" w:ascii="宋体" w:hAnsi="宋体" w:eastAsia="仿宋_GB2312" w:cs="Times New Roman"/>
          <w:sz w:val="32"/>
          <w:highlight w:val="none"/>
          <w:lang w:val="en-US" w:eastAsia="zh-CN"/>
        </w:rPr>
        <w:t>发展</w:t>
      </w:r>
      <w:r>
        <w:rPr>
          <w:rFonts w:hint="eastAsia" w:ascii="宋体" w:hAnsi="宋体" w:eastAsia="仿宋_GB2312" w:cs="Times New Roman"/>
          <w:i w:val="0"/>
          <w:iCs w:val="0"/>
          <w:sz w:val="32"/>
          <w:highlight w:val="none"/>
          <w:u w:val="none"/>
          <w:lang w:val="en-US" w:eastAsia="zh-CN"/>
        </w:rPr>
        <w:t>的具体</w:t>
      </w:r>
      <w:r>
        <w:rPr>
          <w:rFonts w:hint="eastAsia" w:ascii="宋体" w:hAnsi="宋体" w:eastAsia="仿宋_GB2312" w:cs="黑体"/>
          <w:i w:val="0"/>
          <w:iCs w:val="0"/>
          <w:sz w:val="32"/>
          <w:highlight w:val="none"/>
          <w:u w:val="none"/>
          <w:lang w:val="en-US" w:eastAsia="zh-CN"/>
        </w:rPr>
        <w:t>政策</w:t>
      </w:r>
      <w:r>
        <w:rPr>
          <w:rFonts w:hint="eastAsia" w:ascii="宋体" w:hAnsi="宋体" w:eastAsia="仿宋_GB2312" w:cs="Times New Roman"/>
          <w:i w:val="0"/>
          <w:iCs w:val="0"/>
          <w:sz w:val="32"/>
          <w:highlight w:val="none"/>
          <w:u w:val="none"/>
          <w:lang w:val="en-US" w:eastAsia="zh-CN"/>
        </w:rPr>
        <w:t>措施</w:t>
      </w:r>
      <w:r>
        <w:rPr>
          <w:rFonts w:hint="eastAsia" w:ascii="宋体" w:hAnsi="宋体" w:eastAsia="仿宋_GB2312" w:cs="Times New Roman"/>
          <w:sz w:val="32"/>
          <w:highlight w:val="none"/>
          <w:lang w:val="en-US" w:eastAsia="zh-CN"/>
        </w:rPr>
        <w:t>，加强对重大项目建设、体制机制创新等方面的支持和指导，并可以依法建立知识城事项报批绿色通道。</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广州市人民政府应当加强对知识城建设发展工作的</w:t>
      </w:r>
      <w:r>
        <w:rPr>
          <w:rFonts w:hint="eastAsia" w:ascii="宋体" w:hAnsi="宋体" w:eastAsia="仿宋_GB2312" w:cs="黑体"/>
          <w:sz w:val="32"/>
          <w:highlight w:val="none"/>
          <w:lang w:val="en-US" w:eastAsia="zh-CN"/>
        </w:rPr>
        <w:t>组织</w:t>
      </w:r>
      <w:r>
        <w:rPr>
          <w:rFonts w:hint="eastAsia" w:ascii="宋体" w:hAnsi="宋体" w:eastAsia="仿宋_GB2312" w:cs="Times New Roman"/>
          <w:sz w:val="32"/>
          <w:highlight w:val="none"/>
          <w:lang w:val="en-US" w:eastAsia="zh-CN"/>
        </w:rPr>
        <w:t>领导，统筹推进知识城的建设发展。</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中新广州知识城管理委员会（以下简称知识城管委会）承担知识城建设发展的具体事务。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第五条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省人民政府及其有关部门、广州市人民政府及其有关部门可以</w:t>
      </w:r>
      <w:r>
        <w:rPr>
          <w:rFonts w:hint="eastAsia" w:ascii="宋体" w:hAnsi="宋体" w:eastAsia="仿宋_GB2312" w:cs="黑体"/>
          <w:sz w:val="32"/>
          <w:highlight w:val="none"/>
          <w:lang w:val="en-US" w:eastAsia="zh-CN"/>
        </w:rPr>
        <w:t>将承接的国家经济、建设管理权限，</w:t>
      </w:r>
      <w:r>
        <w:rPr>
          <w:rFonts w:hint="eastAsia" w:ascii="宋体" w:hAnsi="宋体" w:eastAsia="仿宋_GB2312" w:cs="Times New Roman"/>
          <w:sz w:val="32"/>
          <w:highlight w:val="none"/>
          <w:lang w:val="en-US" w:eastAsia="zh-CN"/>
        </w:rPr>
        <w:t>在符合法律</w:t>
      </w:r>
      <w:r>
        <w:rPr>
          <w:rFonts w:hint="eastAsia" w:ascii="宋体" w:hAnsi="宋体" w:eastAsia="仿宋_GB2312" w:cs="黑体"/>
          <w:sz w:val="32"/>
          <w:highlight w:val="none"/>
          <w:lang w:val="en-US" w:eastAsia="zh-CN"/>
        </w:rPr>
        <w:t>、行政</w:t>
      </w:r>
      <w:r>
        <w:rPr>
          <w:rFonts w:hint="eastAsia" w:ascii="宋体" w:hAnsi="宋体" w:eastAsia="仿宋_GB2312" w:cs="Times New Roman"/>
          <w:sz w:val="32"/>
          <w:highlight w:val="none"/>
          <w:lang w:val="en-US" w:eastAsia="zh-CN"/>
        </w:rPr>
        <w:t>法规或者国家</w:t>
      </w:r>
      <w:r>
        <w:rPr>
          <w:rFonts w:hint="eastAsia" w:ascii="宋体" w:hAnsi="宋体" w:eastAsia="仿宋_GB2312" w:cs="黑体"/>
          <w:sz w:val="32"/>
          <w:highlight w:val="none"/>
          <w:lang w:val="en-US" w:eastAsia="zh-CN"/>
        </w:rPr>
        <w:t>规定</w:t>
      </w:r>
      <w:r>
        <w:rPr>
          <w:rFonts w:hint="eastAsia" w:ascii="宋体" w:hAnsi="宋体" w:eastAsia="仿宋_GB2312" w:cs="Times New Roman"/>
          <w:sz w:val="32"/>
          <w:highlight w:val="none"/>
          <w:lang w:val="en-US" w:eastAsia="zh-CN"/>
        </w:rPr>
        <w:t>前提下，</w:t>
      </w:r>
      <w:r>
        <w:rPr>
          <w:rFonts w:hint="eastAsia" w:ascii="宋体" w:hAnsi="宋体" w:eastAsia="仿宋_GB2312" w:cs="黑体"/>
          <w:sz w:val="32"/>
          <w:highlight w:val="none"/>
          <w:lang w:val="en-US" w:eastAsia="zh-CN"/>
        </w:rPr>
        <w:t>经国家有关主管部门同意，</w:t>
      </w:r>
      <w:r>
        <w:rPr>
          <w:rFonts w:hint="eastAsia" w:ascii="宋体" w:hAnsi="宋体" w:eastAsia="仿宋_GB2312" w:cs="Times New Roman"/>
          <w:sz w:val="32"/>
          <w:highlight w:val="none"/>
          <w:lang w:val="en-US" w:eastAsia="zh-CN"/>
        </w:rPr>
        <w:t>交由知识城管委会行使。</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省人民政府及其有关部门应当根据知识城建设发展需要</w:t>
      </w:r>
      <w:r>
        <w:rPr>
          <w:rFonts w:hint="eastAsia" w:ascii="宋体" w:hAnsi="宋体" w:eastAsia="仿宋_GB2312" w:cs="黑体"/>
          <w:sz w:val="32"/>
          <w:highlight w:val="none"/>
          <w:lang w:val="en-US" w:eastAsia="zh-CN"/>
        </w:rPr>
        <w:t>和所具备的条件</w:t>
      </w:r>
      <w:r>
        <w:rPr>
          <w:rFonts w:hint="eastAsia" w:ascii="宋体" w:hAnsi="宋体" w:eastAsia="仿宋_GB2312" w:cs="Times New Roman"/>
          <w:sz w:val="32"/>
          <w:highlight w:val="none"/>
          <w:lang w:val="en-US" w:eastAsia="zh-CN"/>
        </w:rPr>
        <w:t>，将省级经济、建设管理权限依法调整由知识城管委会实施，确需由省级行政机关统一协调管理的事项除外。</w:t>
      </w:r>
      <w:r>
        <w:rPr>
          <w:rFonts w:hint="eastAsia" w:ascii="宋体" w:hAnsi="宋体" w:eastAsia="仿宋_GB2312" w:cs="黑体"/>
          <w:sz w:val="32"/>
          <w:highlight w:val="none"/>
          <w:lang w:val="en-US" w:eastAsia="zh-CN"/>
        </w:rPr>
        <w:t>省级经济、建设</w:t>
      </w:r>
      <w:r>
        <w:rPr>
          <w:rFonts w:hint="eastAsia" w:ascii="宋体" w:hAnsi="宋体" w:eastAsia="仿宋_GB2312" w:cs="Times New Roman"/>
          <w:sz w:val="32"/>
          <w:highlight w:val="none"/>
          <w:lang w:val="en-US" w:eastAsia="zh-CN"/>
        </w:rPr>
        <w:t>管理权限调整目录</w:t>
      </w:r>
      <w:r>
        <w:rPr>
          <w:rFonts w:hint="eastAsia" w:ascii="宋体" w:hAnsi="宋体" w:eastAsia="仿宋_GB2312" w:cs="黑体"/>
          <w:sz w:val="32"/>
          <w:highlight w:val="none"/>
          <w:lang w:val="en-US" w:eastAsia="zh-CN"/>
        </w:rPr>
        <w:t>应当在本条例施行之日起十二个月内</w:t>
      </w:r>
      <w:r>
        <w:rPr>
          <w:rFonts w:hint="eastAsia" w:ascii="宋体" w:hAnsi="宋体" w:eastAsia="仿宋_GB2312" w:cs="Times New Roman"/>
          <w:sz w:val="32"/>
          <w:highlight w:val="none"/>
          <w:lang w:val="en-US" w:eastAsia="zh-CN"/>
        </w:rPr>
        <w:t>向社会公布</w:t>
      </w:r>
      <w:r>
        <w:rPr>
          <w:rFonts w:hint="eastAsia" w:ascii="宋体" w:hAnsi="宋体" w:eastAsia="仿宋_GB2312" w:cs="黑体"/>
          <w:sz w:val="32"/>
          <w:highlight w:val="none"/>
          <w:lang w:val="en-US" w:eastAsia="zh-CN"/>
        </w:rPr>
        <w:t>，</w:t>
      </w:r>
      <w:r>
        <w:rPr>
          <w:rFonts w:hint="eastAsia" w:ascii="宋体" w:hAnsi="宋体" w:eastAsia="仿宋_GB2312" w:cs="Times New Roman"/>
          <w:sz w:val="32"/>
          <w:highlight w:val="none"/>
          <w:lang w:val="en-US" w:eastAsia="zh-CN"/>
        </w:rPr>
        <w:t>并结合实际情况动态调整。</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黑体"/>
          <w:sz w:val="32"/>
          <w:highlight w:val="none"/>
          <w:lang w:val="en-US" w:eastAsia="zh-CN"/>
        </w:rPr>
        <w:t>知识城管委会对</w:t>
      </w:r>
      <w:r>
        <w:rPr>
          <w:rFonts w:hint="eastAsia" w:ascii="宋体" w:hAnsi="宋体" w:eastAsia="仿宋_GB2312" w:cs="Times New Roman"/>
          <w:sz w:val="32"/>
          <w:highlight w:val="none"/>
          <w:lang w:val="en-US" w:eastAsia="zh-CN"/>
        </w:rPr>
        <w:t>省人民政府及其有关部门依法调整由广州市及其有关部门实施的</w:t>
      </w:r>
      <w:r>
        <w:rPr>
          <w:rFonts w:hint="eastAsia" w:ascii="宋体" w:hAnsi="宋体" w:eastAsia="仿宋_GB2312" w:cs="黑体"/>
          <w:sz w:val="32"/>
          <w:highlight w:val="none"/>
          <w:lang w:val="en-US" w:eastAsia="zh-CN"/>
        </w:rPr>
        <w:t>省级经济、建设管理权限</w:t>
      </w:r>
      <w:r>
        <w:rPr>
          <w:rFonts w:hint="eastAsia" w:ascii="宋体" w:hAnsi="宋体" w:eastAsia="仿宋_GB2312" w:cs="Times New Roman"/>
          <w:sz w:val="32"/>
          <w:highlight w:val="none"/>
          <w:lang w:val="en-US" w:eastAsia="zh-CN"/>
        </w:rPr>
        <w:t>，</w:t>
      </w:r>
      <w:r>
        <w:rPr>
          <w:rFonts w:hint="eastAsia" w:ascii="宋体" w:hAnsi="宋体" w:eastAsia="仿宋_GB2312" w:cs="Times New Roman"/>
          <w:i w:val="0"/>
          <w:iCs w:val="0"/>
          <w:sz w:val="32"/>
          <w:highlight w:val="none"/>
          <w:u w:val="none"/>
          <w:lang w:val="en-US" w:eastAsia="zh-CN"/>
        </w:rPr>
        <w:t>可以</w:t>
      </w:r>
      <w:r>
        <w:rPr>
          <w:rFonts w:hint="eastAsia" w:ascii="宋体" w:hAnsi="宋体" w:eastAsia="仿宋_GB2312" w:cs="黑体"/>
          <w:sz w:val="32"/>
          <w:highlight w:val="none"/>
          <w:lang w:val="en-US" w:eastAsia="zh-CN"/>
        </w:rPr>
        <w:t>在符合法律法规或者国家、省规定前提下</w:t>
      </w:r>
      <w:r>
        <w:rPr>
          <w:rFonts w:hint="eastAsia" w:ascii="宋体" w:hAnsi="宋体" w:eastAsia="仿宋_GB2312" w:cs="Times New Roman"/>
          <w:i w:val="0"/>
          <w:iCs w:val="0"/>
          <w:sz w:val="32"/>
          <w:highlight w:val="none"/>
          <w:u w:val="none"/>
          <w:lang w:val="en-US" w:eastAsia="zh-CN"/>
        </w:rPr>
        <w:t>直接</w:t>
      </w:r>
      <w:r>
        <w:rPr>
          <w:rFonts w:hint="eastAsia" w:ascii="宋体" w:hAnsi="宋体" w:eastAsia="仿宋_GB2312" w:cs="Times New Roman"/>
          <w:sz w:val="32"/>
          <w:highlight w:val="none"/>
          <w:lang w:val="en-US" w:eastAsia="zh-CN"/>
        </w:rPr>
        <w:t>行使，确需由市级行政机关统一协调管理的事项除外。</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黑体"/>
          <w:sz w:val="32"/>
          <w:highlight w:val="none"/>
          <w:lang w:val="en-US" w:eastAsia="zh-CN"/>
        </w:rPr>
        <w:t>知识城管委会对</w:t>
      </w:r>
      <w:r>
        <w:rPr>
          <w:rFonts w:hint="eastAsia" w:ascii="宋体" w:hAnsi="宋体" w:eastAsia="仿宋_GB2312" w:cs="Times New Roman"/>
          <w:sz w:val="32"/>
          <w:highlight w:val="none"/>
          <w:lang w:val="en-US" w:eastAsia="zh-CN"/>
        </w:rPr>
        <w:t>省人民政府及其有关部门依法调整由中国（广东）自由贸易试验区实施的</w:t>
      </w:r>
      <w:r>
        <w:rPr>
          <w:rFonts w:hint="eastAsia" w:ascii="宋体" w:hAnsi="宋体" w:eastAsia="仿宋_GB2312" w:cs="黑体"/>
          <w:sz w:val="32"/>
          <w:highlight w:val="none"/>
          <w:lang w:val="en-US" w:eastAsia="zh-CN"/>
        </w:rPr>
        <w:t>省级经济、建设管理权限</w:t>
      </w:r>
      <w:r>
        <w:rPr>
          <w:rFonts w:hint="eastAsia" w:ascii="宋体" w:hAnsi="宋体" w:eastAsia="仿宋_GB2312" w:cs="Times New Roman"/>
          <w:sz w:val="32"/>
          <w:highlight w:val="none"/>
          <w:lang w:val="en-US" w:eastAsia="zh-CN"/>
        </w:rPr>
        <w:t>，可以在符合法律法规或者国家</w:t>
      </w:r>
      <w:r>
        <w:rPr>
          <w:rFonts w:hint="eastAsia" w:ascii="宋体" w:hAnsi="宋体" w:eastAsia="仿宋_GB2312" w:cs="黑体"/>
          <w:sz w:val="32"/>
          <w:highlight w:val="none"/>
          <w:lang w:val="en-US" w:eastAsia="zh-CN"/>
        </w:rPr>
        <w:t>、省规定</w:t>
      </w:r>
      <w:r>
        <w:rPr>
          <w:rFonts w:hint="eastAsia" w:ascii="宋体" w:hAnsi="宋体" w:eastAsia="仿宋_GB2312" w:cs="Times New Roman"/>
          <w:sz w:val="32"/>
          <w:highlight w:val="none"/>
          <w:lang w:val="en-US" w:eastAsia="zh-CN"/>
        </w:rPr>
        <w:t>前提下直接行使。</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黑体"/>
          <w:sz w:val="32"/>
          <w:highlight w:val="none"/>
          <w:lang w:val="en-US" w:eastAsia="zh-CN"/>
        </w:rPr>
        <w:t>知识城管委会承接行使上述经济、建设管理权限情况，应当定期向有关主管部门报告。</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第六条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支持知识城与中国（广东）自由贸易试验区联动发展，依法复制推广自由贸易试验区改革试点经验。其他区域的改革试点措施，按照国家规定可以扩大试点范围的，省人民政府可以优先安排在知识城实施。</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支持知识城与广州高新</w:t>
      </w:r>
      <w:r>
        <w:rPr>
          <w:rFonts w:hint="eastAsia" w:ascii="宋体" w:hAnsi="宋体" w:eastAsia="仿宋_GB2312" w:cs="黑体"/>
          <w:sz w:val="32"/>
          <w:highlight w:val="none"/>
          <w:lang w:val="en-US" w:eastAsia="zh-CN"/>
        </w:rPr>
        <w:t>技术产业开发</w:t>
      </w:r>
      <w:r>
        <w:rPr>
          <w:rFonts w:hint="eastAsia" w:ascii="宋体" w:hAnsi="宋体" w:eastAsia="仿宋_GB2312" w:cs="Times New Roman"/>
          <w:sz w:val="32"/>
          <w:highlight w:val="none"/>
          <w:lang w:val="en-US" w:eastAsia="zh-CN"/>
        </w:rPr>
        <w:t>区</w:t>
      </w:r>
      <w:r>
        <w:rPr>
          <w:rFonts w:hint="eastAsia" w:ascii="宋体" w:hAnsi="宋体" w:cs="Times New Roman"/>
          <w:sz w:val="32"/>
          <w:highlight w:val="none"/>
          <w:lang w:val="en-US" w:eastAsia="zh-CN"/>
        </w:rPr>
        <w:t>、</w:t>
      </w:r>
      <w:r>
        <w:rPr>
          <w:rFonts w:hint="eastAsia" w:ascii="宋体" w:hAnsi="宋体" w:eastAsia="仿宋_GB2312" w:cs="黑体"/>
          <w:sz w:val="32"/>
          <w:highlight w:val="none"/>
          <w:lang w:val="en-US" w:eastAsia="zh-CN"/>
        </w:rPr>
        <w:t>经济技术开发区等</w:t>
      </w:r>
      <w:r>
        <w:rPr>
          <w:rFonts w:hint="eastAsia" w:ascii="宋体" w:hAnsi="宋体" w:eastAsia="仿宋_GB2312" w:cs="Times New Roman"/>
          <w:sz w:val="32"/>
          <w:highlight w:val="none"/>
          <w:lang w:val="en-US" w:eastAsia="zh-CN"/>
        </w:rPr>
        <w:t>联动发展，开辟开放合作新路径，探索创新发展新模式。</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第七条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知识城营造开放包容、合作协同、崇尚创新的环境，鼓励各类主体创新创业，激发市场活力和发展动力。</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知识城建立容错免责机制，支持先行先试，宽容失败。在知识城先行先试未能实现预期目标，但是符合知识城总体发展规划，决策程序合法，未牟取私利或者未恶意损害公共利益的，对有关</w:t>
      </w:r>
      <w:r>
        <w:rPr>
          <w:rFonts w:hint="eastAsia" w:ascii="宋体" w:hAnsi="宋体" w:eastAsia="仿宋_GB2312" w:cs="Times New Roman"/>
          <w:i w:val="0"/>
          <w:iCs w:val="0"/>
          <w:sz w:val="32"/>
          <w:highlight w:val="none"/>
          <w:u w:val="none"/>
          <w:lang w:val="en-US" w:eastAsia="zh-CN"/>
        </w:rPr>
        <w:t>单位</w:t>
      </w:r>
      <w:r>
        <w:rPr>
          <w:rFonts w:hint="eastAsia" w:ascii="宋体" w:hAnsi="宋体" w:eastAsia="仿宋_GB2312" w:cs="Times New Roman"/>
          <w:sz w:val="32"/>
          <w:highlight w:val="none"/>
          <w:lang w:val="en-US" w:eastAsia="zh-CN"/>
        </w:rPr>
        <w:t>和个人不作负面评价，免于追究相关责任。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sz w:val="32"/>
          <w:szCs w:val="22"/>
          <w:highlight w:val="none"/>
          <w:lang w:val="en-US" w:eastAsia="zh-CN"/>
        </w:rPr>
      </w:pPr>
      <w:r>
        <w:rPr>
          <w:rFonts w:hint="eastAsia" w:ascii="宋体" w:hAnsi="宋体" w:eastAsia="黑体" w:cs="Times New Roman"/>
          <w:sz w:val="32"/>
          <w:szCs w:val="22"/>
          <w:highlight w:val="none"/>
          <w:lang w:val="en-US" w:eastAsia="zh-CN"/>
        </w:rPr>
        <w:t>第二章  科技创新与知识产权保护</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第八条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知识城应当集聚科技创新要素，完善科技创新体系，深化科技体制改革，提高科技创新能力。</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知识城应当推动知识产权创造与运用，强化知识产权保护，发展知识产权服务业，打造全球知识产权高地。</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第九条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省人民政府按照国家部署支持知识城布局重大科技基础设施</w:t>
      </w:r>
      <w:r>
        <w:rPr>
          <w:rFonts w:hint="eastAsia" w:ascii="宋体" w:hAnsi="宋体" w:eastAsia="仿宋_GB2312" w:cs="黑体"/>
          <w:sz w:val="32"/>
          <w:highlight w:val="none"/>
          <w:lang w:val="en-US" w:eastAsia="zh-CN"/>
        </w:rPr>
        <w:t>，</w:t>
      </w:r>
      <w:r>
        <w:rPr>
          <w:rFonts w:hint="eastAsia" w:ascii="宋体" w:hAnsi="宋体" w:eastAsia="仿宋_GB2312" w:cs="Times New Roman"/>
          <w:sz w:val="32"/>
          <w:highlight w:val="none"/>
          <w:lang w:val="en-US" w:eastAsia="zh-CN"/>
        </w:rPr>
        <w:t>对知识城已列入国家重大科技基础设施建设规划的项目</w:t>
      </w:r>
      <w:r>
        <w:rPr>
          <w:rFonts w:hint="eastAsia" w:ascii="宋体" w:hAnsi="宋体" w:eastAsia="仿宋_GB2312" w:cs="Times New Roman"/>
          <w:i w:val="0"/>
          <w:iCs w:val="0"/>
          <w:sz w:val="32"/>
          <w:highlight w:val="none"/>
          <w:u w:val="none"/>
          <w:lang w:val="en-US" w:eastAsia="zh-CN"/>
        </w:rPr>
        <w:t>给予经费支持</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省人民政府支持知识城与全球顶尖高校、科研机构共建联合研究院，开展重大基础和前沿科学技术研究；支持知识城高标准建设国家级重点实验室，集聚高端研发机构。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培育和推动新型研发机构建设，支持新型研发机构在开展科技研发、加速成果转化、培育创新人才、建设创新文化等方面进行体制机制和服务创新。省人民政府科技主管部门应当为知识城建立省级新型研发机构绿色申报通道。</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新型研发机构在政府项目</w:t>
      </w:r>
      <w:r>
        <w:rPr>
          <w:rFonts w:hint="eastAsia" w:ascii="宋体" w:hAnsi="宋体" w:eastAsia="仿宋_GB2312" w:cs="黑体"/>
          <w:sz w:val="32"/>
          <w:highlight w:val="none"/>
          <w:lang w:val="en-US" w:eastAsia="zh-CN"/>
        </w:rPr>
        <w:t>承担</w:t>
      </w:r>
      <w:r>
        <w:rPr>
          <w:rFonts w:hint="eastAsia" w:ascii="宋体" w:hAnsi="宋体" w:eastAsia="仿宋_GB2312" w:cs="Times New Roman"/>
          <w:sz w:val="32"/>
          <w:highlight w:val="none"/>
          <w:lang w:val="en-US" w:eastAsia="zh-CN"/>
        </w:rPr>
        <w:t>、</w:t>
      </w:r>
      <w:r>
        <w:rPr>
          <w:rFonts w:hint="eastAsia" w:ascii="宋体" w:hAnsi="宋体" w:eastAsia="仿宋_GB2312" w:cs="黑体"/>
          <w:sz w:val="32"/>
          <w:highlight w:val="none"/>
          <w:lang w:val="en-US" w:eastAsia="zh-CN"/>
        </w:rPr>
        <w:t>职称评审、</w:t>
      </w:r>
      <w:r>
        <w:rPr>
          <w:rFonts w:hint="eastAsia" w:ascii="宋体" w:hAnsi="宋体" w:eastAsia="仿宋_GB2312" w:cs="Times New Roman"/>
          <w:sz w:val="32"/>
          <w:highlight w:val="none"/>
          <w:lang w:val="en-US" w:eastAsia="zh-CN"/>
        </w:rPr>
        <w:t>人才</w:t>
      </w:r>
      <w:r>
        <w:rPr>
          <w:rFonts w:hint="eastAsia" w:ascii="宋体" w:hAnsi="宋体" w:eastAsia="仿宋_GB2312" w:cs="黑体"/>
          <w:sz w:val="32"/>
          <w:highlight w:val="none"/>
          <w:lang w:val="en-US" w:eastAsia="zh-CN"/>
        </w:rPr>
        <w:t>引进</w:t>
      </w:r>
      <w:r>
        <w:rPr>
          <w:rFonts w:hint="eastAsia" w:ascii="宋体" w:hAnsi="宋体" w:eastAsia="仿宋_GB2312" w:cs="Times New Roman"/>
          <w:sz w:val="32"/>
          <w:highlight w:val="none"/>
          <w:lang w:val="en-US" w:eastAsia="zh-CN"/>
        </w:rPr>
        <w:t>、建设用地、投资融资等方面</w:t>
      </w:r>
      <w:r>
        <w:rPr>
          <w:rFonts w:hint="eastAsia" w:ascii="宋体" w:hAnsi="宋体" w:eastAsia="仿宋_GB2312" w:cs="黑体"/>
          <w:sz w:val="32"/>
          <w:highlight w:val="none"/>
          <w:lang w:val="en-US" w:eastAsia="zh-CN"/>
        </w:rPr>
        <w:t>享受与国有科学技术研究开发机构同等待遇</w:t>
      </w:r>
      <w:r>
        <w:rPr>
          <w:rFonts w:hint="eastAsia" w:ascii="宋体" w:hAnsi="宋体" w:eastAsia="仿宋_GB2312" w:cs="Times New Roman"/>
          <w:sz w:val="32"/>
          <w:highlight w:val="none"/>
          <w:lang w:val="en-US" w:eastAsia="zh-CN"/>
        </w:rPr>
        <w:t>。符合条件的新型研发机构提供技术转让、技术开发以及相关的技术咨询、技术服务所取得的收入，按照国家规定享受税收减免等相关优惠。</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黑体"/>
          <w:i w:val="0"/>
          <w:iCs w:val="0"/>
          <w:sz w:val="32"/>
          <w:highlight w:val="none"/>
          <w:u w:val="none"/>
          <w:lang w:val="en-US" w:eastAsia="zh-CN"/>
        </w:rPr>
        <w:t>知识城</w:t>
      </w:r>
      <w:r>
        <w:rPr>
          <w:rFonts w:hint="eastAsia" w:ascii="宋体" w:hAnsi="宋体" w:eastAsia="仿宋_GB2312" w:cs="Times New Roman"/>
          <w:i w:val="0"/>
          <w:iCs w:val="0"/>
          <w:sz w:val="32"/>
          <w:highlight w:val="none"/>
          <w:u w:val="none"/>
          <w:lang w:val="en-US" w:eastAsia="zh-CN"/>
        </w:rPr>
        <w:t>培育扶持</w:t>
      </w:r>
      <w:r>
        <w:rPr>
          <w:rFonts w:hint="eastAsia" w:ascii="宋体" w:hAnsi="宋体" w:eastAsia="仿宋_GB2312" w:cs="黑体"/>
          <w:i w:val="0"/>
          <w:iCs w:val="0"/>
          <w:sz w:val="32"/>
          <w:highlight w:val="none"/>
          <w:u w:val="none"/>
          <w:lang w:val="en-US" w:eastAsia="zh-CN"/>
        </w:rPr>
        <w:t>高新技术企业</w:t>
      </w:r>
      <w:r>
        <w:rPr>
          <w:rFonts w:hint="eastAsia" w:ascii="宋体" w:hAnsi="宋体" w:eastAsia="仿宋_GB2312" w:cs="Times New Roman"/>
          <w:i w:val="0"/>
          <w:iCs w:val="0"/>
          <w:sz w:val="32"/>
          <w:highlight w:val="none"/>
          <w:u w:val="none"/>
          <w:lang w:val="en-US" w:eastAsia="zh-CN"/>
        </w:rPr>
        <w:t>。</w:t>
      </w:r>
      <w:r>
        <w:rPr>
          <w:rFonts w:hint="eastAsia" w:ascii="宋体" w:hAnsi="宋体" w:eastAsia="仿宋_GB2312" w:cs="Times New Roman"/>
          <w:sz w:val="32"/>
          <w:highlight w:val="none"/>
          <w:lang w:val="en-US" w:eastAsia="zh-CN"/>
        </w:rPr>
        <w:t>经认定的高新技术企业</w:t>
      </w:r>
      <w:r>
        <w:rPr>
          <w:rFonts w:hint="eastAsia" w:ascii="宋体" w:hAnsi="宋体" w:eastAsia="仿宋_GB2312" w:cs="Times New Roman"/>
          <w:i w:val="0"/>
          <w:iCs w:val="0"/>
          <w:sz w:val="32"/>
          <w:highlight w:val="none"/>
          <w:u w:val="none"/>
          <w:lang w:val="en-US" w:eastAsia="zh-CN"/>
        </w:rPr>
        <w:t>，</w:t>
      </w:r>
      <w:r>
        <w:rPr>
          <w:rFonts w:hint="eastAsia" w:ascii="宋体" w:hAnsi="宋体" w:eastAsia="仿宋_GB2312" w:cs="Times New Roman"/>
          <w:sz w:val="32"/>
          <w:highlight w:val="none"/>
          <w:lang w:val="en-US" w:eastAsia="zh-CN"/>
        </w:rPr>
        <w:t>按照国家规定</w:t>
      </w:r>
      <w:r>
        <w:rPr>
          <w:rFonts w:hint="eastAsia" w:ascii="宋体" w:hAnsi="宋体" w:eastAsia="仿宋_GB2312" w:cs="Times New Roman"/>
          <w:i w:val="0"/>
          <w:iCs w:val="0"/>
          <w:sz w:val="32"/>
          <w:highlight w:val="none"/>
          <w:u w:val="none"/>
          <w:lang w:val="en-US" w:eastAsia="zh-CN"/>
        </w:rPr>
        <w:t>享受</w:t>
      </w:r>
      <w:r>
        <w:rPr>
          <w:rFonts w:hint="eastAsia" w:ascii="宋体" w:hAnsi="宋体" w:eastAsia="仿宋_GB2312" w:cs="Times New Roman"/>
          <w:sz w:val="32"/>
          <w:highlight w:val="none"/>
          <w:lang w:val="en-US" w:eastAsia="zh-CN"/>
        </w:rPr>
        <w:t>税收减免等相关优惠。</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第十一条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知识城建立健全全链条创新创业模式，发展研发设计、中试孵化、</w:t>
      </w:r>
      <w:r>
        <w:rPr>
          <w:rFonts w:hint="eastAsia" w:ascii="宋体" w:hAnsi="宋体" w:eastAsia="仿宋_GB2312" w:cs="黑体"/>
          <w:b w:val="0"/>
          <w:bCs w:val="0"/>
          <w:color w:val="auto"/>
          <w:sz w:val="32"/>
          <w:highlight w:val="none"/>
          <w:lang w:val="en-US" w:eastAsia="zh-CN"/>
        </w:rPr>
        <w:t>科技咨询、</w:t>
      </w:r>
      <w:r>
        <w:rPr>
          <w:rFonts w:hint="eastAsia" w:ascii="宋体" w:hAnsi="宋体" w:eastAsia="仿宋_GB2312" w:cs="Times New Roman"/>
          <w:sz w:val="32"/>
          <w:highlight w:val="none"/>
          <w:lang w:val="en-US" w:eastAsia="zh-CN"/>
        </w:rPr>
        <w:t>检验检测、技术标准研制、成果转化等科技服务机构，建设科技文献服务平台、科学数据共享平台、技术转移服务平台等公共服务平台，改善科技创新生态。</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第十二条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支持知识城</w:t>
      </w:r>
      <w:r>
        <w:rPr>
          <w:rFonts w:hint="eastAsia" w:ascii="宋体" w:hAnsi="宋体" w:eastAsia="仿宋_GB2312" w:cs="黑体"/>
          <w:sz w:val="32"/>
          <w:highlight w:val="none"/>
          <w:lang w:val="en-US" w:eastAsia="zh-CN"/>
        </w:rPr>
        <w:t>内</w:t>
      </w:r>
      <w:r>
        <w:rPr>
          <w:rFonts w:hint="eastAsia" w:ascii="宋体" w:hAnsi="宋体" w:eastAsia="仿宋_GB2312" w:cs="Times New Roman"/>
          <w:sz w:val="32"/>
          <w:highlight w:val="none"/>
          <w:lang w:val="en-US" w:eastAsia="zh-CN"/>
        </w:rPr>
        <w:t>高等</w:t>
      </w:r>
      <w:r>
        <w:rPr>
          <w:rFonts w:hint="eastAsia" w:ascii="宋体" w:hAnsi="宋体" w:cs="Times New Roman"/>
          <w:sz w:val="32"/>
          <w:highlight w:val="none"/>
          <w:lang w:val="en-US" w:eastAsia="zh-CN"/>
        </w:rPr>
        <w:t>学</w:t>
      </w:r>
      <w:r>
        <w:rPr>
          <w:rFonts w:hint="eastAsia" w:ascii="宋体" w:hAnsi="宋体" w:eastAsia="仿宋_GB2312" w:cs="Times New Roman"/>
          <w:sz w:val="32"/>
          <w:highlight w:val="none"/>
          <w:lang w:val="en-US" w:eastAsia="zh-CN"/>
        </w:rPr>
        <w:t>校、科研院所、产业技术创新联盟、企业以及个人按照国家规定申报和承担国内外重大科技项目，</w:t>
      </w:r>
      <w:r>
        <w:rPr>
          <w:rFonts w:hint="eastAsia" w:ascii="宋体" w:hAnsi="宋体" w:eastAsia="仿宋_GB2312" w:cs="黑体"/>
          <w:sz w:val="32"/>
          <w:highlight w:val="none"/>
          <w:lang w:val="en-US" w:eastAsia="zh-CN"/>
        </w:rPr>
        <w:t>可以经知识城管委会向省人民政府科技主管部门直接推荐申报</w:t>
      </w:r>
      <w:r>
        <w:rPr>
          <w:rFonts w:hint="eastAsia" w:ascii="宋体" w:hAnsi="宋体" w:eastAsia="仿宋_GB2312" w:cs="Times New Roman"/>
          <w:sz w:val="32"/>
          <w:highlight w:val="none"/>
          <w:lang w:val="en-US" w:eastAsia="zh-CN"/>
        </w:rPr>
        <w:t>省重点科技计划和省人才专项计划。</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第十三条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支持高等</w:t>
      </w:r>
      <w:r>
        <w:rPr>
          <w:rFonts w:hint="eastAsia" w:ascii="宋体" w:hAnsi="宋体" w:cs="Times New Roman"/>
          <w:sz w:val="32"/>
          <w:highlight w:val="none"/>
          <w:lang w:val="en-US" w:eastAsia="zh-CN"/>
        </w:rPr>
        <w:t>学</w:t>
      </w:r>
      <w:r>
        <w:rPr>
          <w:rFonts w:hint="eastAsia" w:ascii="宋体" w:hAnsi="宋体" w:eastAsia="仿宋_GB2312" w:cs="Times New Roman"/>
          <w:sz w:val="32"/>
          <w:highlight w:val="none"/>
          <w:lang w:val="en-US" w:eastAsia="zh-CN"/>
        </w:rPr>
        <w:t>校、科研院所建立健全知识产权转移转化机构，探索与企业联合建立高价值专利创造中心，提升知识产权创造能力。推动在知识城开通专利优先审查、集成电路布图设计登记等知识产权申请绿色通道。</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支持知识城引入新加坡及港澳知识产权服务机构，培育知识产权运营机构，</w:t>
      </w:r>
      <w:r>
        <w:rPr>
          <w:rFonts w:hint="eastAsia" w:ascii="宋体" w:hAnsi="宋体" w:eastAsia="仿宋_GB2312" w:cs="黑体"/>
          <w:sz w:val="32"/>
          <w:highlight w:val="none"/>
          <w:lang w:val="en-US" w:eastAsia="zh-CN"/>
        </w:rPr>
        <w:t>规范发展</w:t>
      </w:r>
      <w:r>
        <w:rPr>
          <w:rFonts w:hint="eastAsia" w:ascii="宋体" w:hAnsi="宋体" w:eastAsia="仿宋_GB2312" w:cs="Times New Roman"/>
          <w:sz w:val="32"/>
          <w:highlight w:val="none"/>
          <w:lang w:val="en-US" w:eastAsia="zh-CN"/>
        </w:rPr>
        <w:t>知识产权交易中心，建设国际知识产权运营中心，加速知识产权市场化运营。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知识城创新</w:t>
      </w:r>
      <w:r>
        <w:rPr>
          <w:rFonts w:hint="eastAsia" w:ascii="宋体" w:hAnsi="宋体" w:cs="Times New Roman"/>
          <w:sz w:val="32"/>
          <w:highlight w:val="none"/>
          <w:lang w:val="en-US" w:eastAsia="zh-CN"/>
        </w:rPr>
        <w:t>和</w:t>
      </w:r>
      <w:r>
        <w:rPr>
          <w:rFonts w:hint="eastAsia" w:ascii="宋体" w:hAnsi="宋体" w:eastAsia="仿宋_GB2312" w:cs="Times New Roman"/>
          <w:sz w:val="32"/>
          <w:highlight w:val="none"/>
          <w:lang w:val="en-US" w:eastAsia="zh-CN"/>
        </w:rPr>
        <w:t>完善知识产权价值评估制度，引导行业组织制定知识产权评估标准，培育具有公信力和市场认可度的知识产权评估机构。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第十四条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知识城优化知识产权融资服务体系，采取资金资助、政策引导等措施，推动知识产权质押融资、知识产权证券化，发展多层次资本市场，拓宽直接融资渠道，培育知识产权金融服务市场。</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第十五条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实行严格的知识产权保护标准，建立健全涵盖审查授权、行政执法、司法保护、仲裁调解、行业自律等环节的保护工作体系，综合运用法律、行政、经济、技术、社会治理等手段加强知识产权保护，促进保护能力和水平的提升。</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i w:val="0"/>
          <w:iCs w:val="0"/>
          <w:sz w:val="32"/>
          <w:highlight w:val="none"/>
          <w:u w:val="none"/>
          <w:lang w:val="en-US" w:eastAsia="zh-CN"/>
        </w:rPr>
        <w:t>支持</w:t>
      </w:r>
      <w:r>
        <w:rPr>
          <w:rFonts w:hint="eastAsia" w:ascii="宋体" w:hAnsi="宋体" w:eastAsia="仿宋_GB2312" w:cs="Times New Roman"/>
          <w:sz w:val="32"/>
          <w:highlight w:val="none"/>
          <w:lang w:val="en-US" w:eastAsia="zh-CN"/>
        </w:rPr>
        <w:t>中国（广东）知识产权保护中心</w:t>
      </w:r>
      <w:r>
        <w:rPr>
          <w:rFonts w:hint="eastAsia" w:ascii="宋体" w:hAnsi="宋体" w:cs="Times New Roman"/>
          <w:sz w:val="32"/>
          <w:highlight w:val="none"/>
          <w:lang w:val="en-US" w:eastAsia="zh-CN"/>
        </w:rPr>
        <w:t>等知识产权</w:t>
      </w:r>
      <w:r>
        <w:rPr>
          <w:rFonts w:hint="eastAsia" w:ascii="宋体" w:hAnsi="宋体" w:eastAsia="仿宋_GB2312" w:cs="Times New Roman"/>
          <w:sz w:val="32"/>
          <w:highlight w:val="none"/>
          <w:lang w:val="en-US" w:eastAsia="zh-CN"/>
        </w:rPr>
        <w:t>服务</w:t>
      </w:r>
      <w:r>
        <w:rPr>
          <w:rFonts w:hint="eastAsia" w:ascii="宋体" w:hAnsi="宋体" w:cs="Times New Roman"/>
          <w:sz w:val="32"/>
          <w:highlight w:val="none"/>
          <w:lang w:val="en-US" w:eastAsia="zh-CN"/>
        </w:rPr>
        <w:t>机构</w:t>
      </w:r>
      <w:r>
        <w:rPr>
          <w:rFonts w:hint="eastAsia" w:ascii="宋体" w:hAnsi="宋体" w:eastAsia="仿宋_GB2312" w:cs="黑体"/>
          <w:sz w:val="32"/>
          <w:highlight w:val="none"/>
          <w:lang w:val="en-US" w:eastAsia="zh-CN"/>
        </w:rPr>
        <w:t>发挥</w:t>
      </w:r>
      <w:r>
        <w:rPr>
          <w:rFonts w:hint="eastAsia" w:ascii="宋体" w:hAnsi="宋体" w:eastAsia="仿宋_GB2312" w:cs="Times New Roman"/>
          <w:i w:val="0"/>
          <w:iCs w:val="0"/>
          <w:sz w:val="32"/>
          <w:highlight w:val="none"/>
          <w:u w:val="none"/>
          <w:lang w:val="en-US" w:eastAsia="zh-CN"/>
        </w:rPr>
        <w:t>作用，</w:t>
      </w:r>
      <w:r>
        <w:rPr>
          <w:rFonts w:hint="eastAsia" w:ascii="宋体" w:hAnsi="宋体" w:eastAsia="仿宋_GB2312" w:cs="黑体"/>
          <w:i w:val="0"/>
          <w:iCs w:val="0"/>
          <w:sz w:val="32"/>
          <w:highlight w:val="none"/>
          <w:u w:val="none"/>
          <w:lang w:val="en-US" w:eastAsia="zh-CN"/>
        </w:rPr>
        <w:t>为重点产业</w:t>
      </w:r>
      <w:r>
        <w:rPr>
          <w:rFonts w:hint="eastAsia" w:ascii="宋体" w:hAnsi="宋体" w:eastAsia="仿宋_GB2312" w:cs="黑体"/>
          <w:sz w:val="32"/>
          <w:highlight w:val="none"/>
          <w:lang w:val="en-US" w:eastAsia="zh-CN"/>
        </w:rPr>
        <w:t>知识产权快速审查、快速维权、协同保护等提供服务</w:t>
      </w:r>
      <w:r>
        <w:rPr>
          <w:rFonts w:hint="eastAsia" w:ascii="宋体" w:hAnsi="宋体" w:eastAsia="仿宋_GB2312" w:cs="黑体"/>
          <w:sz w:val="32"/>
          <w:highlight w:val="none"/>
          <w:u w:val="none"/>
          <w:lang w:val="en-US" w:eastAsia="zh-CN"/>
        </w:rPr>
        <w:t>支撑。</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在知识城设立知识产权公证机构，对接建立粤港澳大湾区知识产权调解平台，完善知识产权纠纷多元化解决机制。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第十六条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知识城建立知识产权代理、咨询、商用化、交易、融资、鉴定、法律和培训等全链条知识产权服务产业体系，促进知识产权服务业高端化与多元化发展。</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支持外国专利代理机构按照</w:t>
      </w:r>
      <w:r>
        <w:rPr>
          <w:rFonts w:hint="eastAsia" w:ascii="宋体" w:hAnsi="宋体" w:eastAsia="仿宋_GB2312" w:cs="黑体"/>
          <w:sz w:val="32"/>
          <w:highlight w:val="none"/>
          <w:lang w:val="en-US" w:eastAsia="zh-CN"/>
        </w:rPr>
        <w:t>国家</w:t>
      </w:r>
      <w:r>
        <w:rPr>
          <w:rFonts w:hint="eastAsia" w:ascii="宋体" w:hAnsi="宋体" w:eastAsia="仿宋_GB2312" w:cs="Times New Roman"/>
          <w:sz w:val="32"/>
          <w:highlight w:val="none"/>
          <w:lang w:val="en-US" w:eastAsia="zh-CN"/>
        </w:rPr>
        <w:t>规定在知识城设立常驻代表机构开展业务。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按照</w:t>
      </w:r>
      <w:r>
        <w:rPr>
          <w:rFonts w:hint="eastAsia" w:ascii="宋体" w:hAnsi="宋体" w:eastAsia="仿宋_GB2312" w:cs="黑体"/>
          <w:sz w:val="32"/>
          <w:highlight w:val="none"/>
          <w:lang w:val="en-US" w:eastAsia="zh-CN"/>
        </w:rPr>
        <w:t>国家</w:t>
      </w:r>
      <w:r>
        <w:rPr>
          <w:rFonts w:hint="eastAsia" w:ascii="宋体" w:hAnsi="宋体" w:eastAsia="仿宋_GB2312" w:cs="Times New Roman"/>
          <w:sz w:val="32"/>
          <w:highlight w:val="none"/>
          <w:lang w:val="en-US" w:eastAsia="zh-CN"/>
        </w:rPr>
        <w:t>规定取得专利代理师资格的外国人，可以在知识城设立的专利代理机构执业。符合规定条件的外国执业人员可以加入成为知识城专利代理机构的合伙人或者股东。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支持知识城与新加坡</w:t>
      </w:r>
      <w:r>
        <w:rPr>
          <w:rFonts w:hint="eastAsia" w:ascii="宋体" w:hAnsi="宋体" w:cs="Times New Roman"/>
          <w:sz w:val="32"/>
          <w:highlight w:val="none"/>
          <w:lang w:val="en-US" w:eastAsia="zh-CN"/>
        </w:rPr>
        <w:t>共同</w:t>
      </w:r>
      <w:r>
        <w:rPr>
          <w:rFonts w:hint="eastAsia" w:ascii="宋体" w:hAnsi="宋体" w:eastAsia="仿宋_GB2312" w:cs="Times New Roman"/>
          <w:sz w:val="32"/>
          <w:highlight w:val="none"/>
          <w:lang w:val="en-US" w:eastAsia="zh-CN"/>
        </w:rPr>
        <w:t>培养知识产权领域的国际化专业人才，提升知识产权服务业对外开放水平。</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建立粤港澳大湾区知识产权信息公共服务平台</w:t>
      </w:r>
      <w:r>
        <w:rPr>
          <w:rFonts w:hint="eastAsia" w:ascii="宋体" w:hAnsi="宋体" w:eastAsia="仿宋_GB2312" w:cs="黑体"/>
          <w:sz w:val="32"/>
          <w:highlight w:val="none"/>
          <w:lang w:val="en-US" w:eastAsia="zh-CN"/>
        </w:rPr>
        <w:t>，促进知识产权信息交换共享</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第三章  知识密集型</w:t>
      </w:r>
      <w:r>
        <w:rPr>
          <w:rFonts w:hint="eastAsia" w:ascii="宋体" w:hAnsi="宋体" w:eastAsia="黑体" w:cs="Times New Roman"/>
          <w:sz w:val="32"/>
          <w:szCs w:val="22"/>
          <w:highlight w:val="none"/>
          <w:lang w:val="en-US" w:eastAsia="zh-CN"/>
        </w:rPr>
        <w:t>产业</w:t>
      </w:r>
      <w:r>
        <w:rPr>
          <w:rFonts w:hint="eastAsia" w:ascii="宋体" w:hAnsi="宋体" w:eastAsia="黑体" w:cs="Times New Roman"/>
          <w:sz w:val="32"/>
          <w:highlight w:val="none"/>
          <w:lang w:val="en-US" w:eastAsia="zh-CN"/>
        </w:rPr>
        <w:t>发展与人才支撑</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第十七条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知识城应当优化产业空间布局，发展知识密集型产业，完善知识密集型产业服务，构建知识密集型产业体系。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知识城应当创新人才管理机制，健全人才服务体系，打造国际人才自由港。</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第十八条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知识城应当根据知识城总体发展规划，以山体湖泊为生态绿色屏障，打造知识创造与科技创新核，构建知识辐射传播轴，高水平建设知识密集型产业组团。</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知识城应当发挥知识密集型产业示范引领和辐射带动作用，协同周边区域实现高质量发展。</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第十九条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知识城管委会应当按照知识创新、开放合作、产城融合、集约发展</w:t>
      </w:r>
      <w:r>
        <w:rPr>
          <w:rFonts w:hint="eastAsia" w:ascii="宋体" w:hAnsi="宋体" w:cs="Times New Roman"/>
          <w:sz w:val="32"/>
          <w:highlight w:val="none"/>
          <w:lang w:val="en-US" w:eastAsia="zh-CN"/>
        </w:rPr>
        <w:t>、绿色低碳</w:t>
      </w:r>
      <w:r>
        <w:rPr>
          <w:rFonts w:hint="eastAsia" w:ascii="宋体" w:hAnsi="宋体" w:eastAsia="仿宋_GB2312" w:cs="Times New Roman"/>
          <w:sz w:val="32"/>
          <w:highlight w:val="none"/>
          <w:lang w:val="en-US" w:eastAsia="zh-CN"/>
        </w:rPr>
        <w:t>的原则，编制产业发展规划，制定产业指导目录，并向社会公布。</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知识城重点发展下列产业：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（一）生物医药与大健康产业；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（二）新一代信息技术产业；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（三）新材料新能源产业；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（四）科教服务与数字创意产业；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（五）智能制造与集成电路产业；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（六）其他知识密集型产业。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知识城管委会应当实行有利于碳达峰、碳中和目标实现的产业政策，建立健全新增产业的禁止和限制目录，严格限制引进废水、废气、重金属或者持久性污染物排放量大的产业项目。</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w:t>
      </w:r>
      <w:r>
        <w:rPr>
          <w:rFonts w:hint="eastAsia" w:ascii="宋体" w:hAnsi="宋体" w:cs="Times New Roman"/>
          <w:sz w:val="32"/>
          <w:highlight w:val="none"/>
          <w:lang w:val="en-US" w:eastAsia="zh-CN"/>
        </w:rPr>
        <w:t>推动</w:t>
      </w:r>
      <w:r>
        <w:rPr>
          <w:rFonts w:hint="eastAsia" w:ascii="宋体" w:hAnsi="宋体" w:eastAsia="仿宋_GB2312" w:cs="Times New Roman"/>
          <w:sz w:val="32"/>
          <w:highlight w:val="none"/>
          <w:lang w:val="en-US" w:eastAsia="zh-CN"/>
        </w:rPr>
        <w:t>将</w:t>
      </w:r>
      <w:r>
        <w:rPr>
          <w:rFonts w:hint="eastAsia" w:ascii="宋体" w:hAnsi="宋体" w:eastAsia="仿宋_GB2312" w:cs="黑体"/>
          <w:sz w:val="32"/>
          <w:highlight w:val="none"/>
          <w:lang w:val="en-US" w:eastAsia="zh-CN"/>
        </w:rPr>
        <w:t>符合条件的</w:t>
      </w:r>
      <w:r>
        <w:rPr>
          <w:rFonts w:hint="eastAsia" w:ascii="宋体" w:hAnsi="宋体" w:eastAsia="仿宋_GB2312" w:cs="Times New Roman"/>
          <w:sz w:val="32"/>
          <w:highlight w:val="none"/>
          <w:lang w:val="en-US" w:eastAsia="zh-CN"/>
        </w:rPr>
        <w:t>知识城重点产业项目纳入国家重大建设项目储备库，在认定</w:t>
      </w:r>
      <w:r>
        <w:rPr>
          <w:rFonts w:hint="eastAsia" w:ascii="宋体" w:hAnsi="宋体" w:eastAsia="仿宋_GB2312" w:cs="黑体"/>
          <w:sz w:val="32"/>
          <w:highlight w:val="none"/>
          <w:lang w:val="en-US" w:eastAsia="zh-CN"/>
        </w:rPr>
        <w:t>国家</w:t>
      </w:r>
      <w:r>
        <w:rPr>
          <w:rFonts w:hint="eastAsia" w:ascii="宋体" w:hAnsi="宋体" w:eastAsia="仿宋_GB2312" w:cs="Times New Roman"/>
          <w:sz w:val="32"/>
          <w:highlight w:val="none"/>
          <w:lang w:val="en-US" w:eastAsia="zh-CN"/>
        </w:rPr>
        <w:t>企业技术中心等创新平台申报中给予知识城名额倾斜，推动国家级战略性新兴产业发展基金优先在知识城设立子基金。</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黑体" w:cs="Times New Roman"/>
          <w:i w:val="0"/>
          <w:iCs w:val="0"/>
          <w:sz w:val="32"/>
          <w:highlight w:val="none"/>
          <w:u w:val="none"/>
          <w:lang w:val="en-US" w:eastAsia="zh-CN"/>
        </w:rPr>
        <w:t>第二十一条</w:t>
      </w:r>
      <w:r>
        <w:rPr>
          <w:rFonts w:hint="eastAsia" w:ascii="宋体" w:hAnsi="宋体" w:cs="Times New Roman"/>
          <w:i w:val="0"/>
          <w:iCs w:val="0"/>
          <w:sz w:val="32"/>
          <w:highlight w:val="none"/>
          <w:u w:val="none"/>
          <w:lang w:val="en-US" w:eastAsia="zh-CN"/>
        </w:rPr>
        <w:t xml:space="preserve">  </w:t>
      </w:r>
      <w:r>
        <w:rPr>
          <w:rFonts w:hint="eastAsia" w:ascii="宋体" w:hAnsi="宋体" w:eastAsia="仿宋_GB2312" w:cs="黑体"/>
          <w:sz w:val="32"/>
          <w:highlight w:val="none"/>
          <w:lang w:val="en-US" w:eastAsia="zh-CN"/>
        </w:rPr>
        <w:t>知识城应当采取措施建立和完善知识密集型产业服务链，对</w:t>
      </w:r>
      <w:r>
        <w:rPr>
          <w:rFonts w:hint="eastAsia" w:ascii="宋体" w:hAnsi="宋体" w:eastAsia="仿宋_GB2312" w:cs="Times New Roman"/>
          <w:sz w:val="32"/>
          <w:highlight w:val="none"/>
          <w:lang w:val="en-US" w:eastAsia="zh-CN"/>
        </w:rPr>
        <w:t>从事法律、保险、会计、审计、资产评估、信息咨询、合格评定、人才服务的相关</w:t>
      </w:r>
      <w:r>
        <w:rPr>
          <w:rFonts w:hint="eastAsia" w:ascii="宋体" w:hAnsi="宋体" w:eastAsia="仿宋_GB2312" w:cs="Times New Roman"/>
          <w:i w:val="0"/>
          <w:iCs w:val="0"/>
          <w:sz w:val="32"/>
          <w:highlight w:val="none"/>
          <w:u w:val="none"/>
          <w:lang w:val="en-US" w:eastAsia="zh-CN"/>
        </w:rPr>
        <w:t>组织</w:t>
      </w:r>
      <w:r>
        <w:rPr>
          <w:rFonts w:hint="eastAsia" w:ascii="宋体" w:hAnsi="宋体" w:eastAsia="仿宋_GB2312" w:cs="Times New Roman"/>
          <w:sz w:val="32"/>
          <w:highlight w:val="none"/>
          <w:lang w:val="en-US" w:eastAsia="zh-CN"/>
        </w:rPr>
        <w:t>在知识城开展业务</w:t>
      </w:r>
      <w:r>
        <w:rPr>
          <w:rFonts w:hint="eastAsia" w:ascii="宋体" w:hAnsi="宋体" w:eastAsia="仿宋_GB2312" w:cs="黑体"/>
          <w:sz w:val="32"/>
          <w:highlight w:val="none"/>
          <w:lang w:val="en-US" w:eastAsia="zh-CN"/>
        </w:rPr>
        <w:t>提供便利</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第二十二条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知识城管委会应当根据国家金融政策，</w:t>
      </w:r>
      <w:r>
        <w:rPr>
          <w:rFonts w:hint="eastAsia" w:ascii="宋体" w:hAnsi="宋体" w:eastAsia="仿宋_GB2312" w:cs="黑体"/>
          <w:sz w:val="32"/>
          <w:highlight w:val="none"/>
          <w:lang w:val="en-US" w:eastAsia="zh-CN"/>
        </w:rPr>
        <w:t>鼓励和支持</w:t>
      </w:r>
      <w:r>
        <w:rPr>
          <w:rFonts w:hint="eastAsia" w:ascii="宋体" w:hAnsi="宋体" w:eastAsia="仿宋_GB2312" w:cs="Times New Roman"/>
          <w:i w:val="0"/>
          <w:iCs w:val="0"/>
          <w:sz w:val="32"/>
          <w:highlight w:val="none"/>
          <w:u w:val="none"/>
          <w:lang w:val="en-US" w:eastAsia="zh-CN"/>
        </w:rPr>
        <w:t>优化</w:t>
      </w:r>
      <w:r>
        <w:rPr>
          <w:rFonts w:hint="eastAsia" w:ascii="宋体" w:hAnsi="宋体" w:eastAsia="仿宋_GB2312" w:cs="Times New Roman"/>
          <w:sz w:val="32"/>
          <w:highlight w:val="none"/>
          <w:lang w:val="en-US" w:eastAsia="zh-CN"/>
        </w:rPr>
        <w:t>下列金融服务：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（一）金融机构开展信用保险、融资租赁、信托投资等业务</w:t>
      </w:r>
      <w:r>
        <w:rPr>
          <w:rFonts w:hint="eastAsia" w:ascii="宋体" w:hAnsi="宋体" w:eastAsia="仿宋_GB2312" w:cs="黑体"/>
          <w:sz w:val="32"/>
          <w:highlight w:val="none"/>
          <w:lang w:val="en-US" w:eastAsia="zh-CN"/>
        </w:rPr>
        <w:t>，</w:t>
      </w:r>
      <w:r>
        <w:rPr>
          <w:rFonts w:hint="eastAsia" w:ascii="宋体" w:hAnsi="宋体" w:eastAsia="仿宋_GB2312" w:cs="Times New Roman"/>
          <w:i w:val="0"/>
          <w:iCs w:val="0"/>
          <w:sz w:val="32"/>
          <w:highlight w:val="none"/>
          <w:u w:val="none"/>
          <w:lang w:val="en-US" w:eastAsia="zh-CN"/>
        </w:rPr>
        <w:t>发行多币种的产业投资基金，在基础设施领域推出公募不动产信托基金</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w:t>
      </w:r>
      <w:r>
        <w:rPr>
          <w:rFonts w:hint="eastAsia" w:ascii="宋体" w:hAnsi="宋体" w:eastAsia="仿宋_GB2312" w:cs="黑体"/>
          <w:sz w:val="32"/>
          <w:highlight w:val="none"/>
          <w:lang w:val="en-US" w:eastAsia="zh-CN"/>
        </w:rPr>
        <w:t>二</w:t>
      </w:r>
      <w:r>
        <w:rPr>
          <w:rFonts w:hint="eastAsia" w:ascii="宋体" w:hAnsi="宋体" w:eastAsia="仿宋_GB2312" w:cs="Times New Roman"/>
          <w:sz w:val="32"/>
          <w:highlight w:val="none"/>
          <w:lang w:val="en-US" w:eastAsia="zh-CN"/>
        </w:rPr>
        <w:t>）中小科技企业首贷、续贷中心</w:t>
      </w:r>
      <w:r>
        <w:rPr>
          <w:rFonts w:hint="eastAsia" w:ascii="宋体" w:hAnsi="宋体" w:eastAsia="仿宋_GB2312" w:cs="Times New Roman"/>
          <w:i w:val="0"/>
          <w:iCs w:val="0"/>
          <w:sz w:val="32"/>
          <w:highlight w:val="none"/>
          <w:u w:val="none"/>
          <w:lang w:val="en-US" w:eastAsia="zh-CN"/>
        </w:rPr>
        <w:t>支持</w:t>
      </w:r>
      <w:r>
        <w:rPr>
          <w:rFonts w:hint="eastAsia" w:ascii="宋体" w:hAnsi="宋体" w:eastAsia="仿宋_GB2312" w:cs="Times New Roman"/>
          <w:sz w:val="32"/>
          <w:highlight w:val="none"/>
          <w:lang w:val="en-US" w:eastAsia="zh-CN"/>
        </w:rPr>
        <w:t>企业无还本续贷；</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w:t>
      </w:r>
      <w:r>
        <w:rPr>
          <w:rFonts w:hint="eastAsia" w:ascii="宋体" w:hAnsi="宋体" w:eastAsia="仿宋_GB2312" w:cs="黑体"/>
          <w:sz w:val="32"/>
          <w:szCs w:val="22"/>
          <w:highlight w:val="none"/>
          <w:lang w:val="en-US" w:eastAsia="zh-CN"/>
        </w:rPr>
        <w:t>三</w:t>
      </w:r>
      <w:r>
        <w:rPr>
          <w:rFonts w:hint="eastAsia" w:ascii="宋体" w:hAnsi="宋体" w:eastAsia="仿宋_GB2312" w:cs="Times New Roman"/>
          <w:sz w:val="32"/>
          <w:highlight w:val="none"/>
          <w:lang w:val="en-US" w:eastAsia="zh-CN"/>
        </w:rPr>
        <w:t>）战略性新兴产业企业发债融资，提供股权和债权相结合的融资方式</w:t>
      </w:r>
      <w:r>
        <w:rPr>
          <w:rFonts w:hint="eastAsia" w:ascii="宋体" w:hAnsi="宋体" w:cs="Times New Roman"/>
          <w:sz w:val="32"/>
          <w:highlight w:val="none"/>
          <w:lang w:val="en-US" w:eastAsia="zh-CN"/>
        </w:rPr>
        <w:t>支持</w:t>
      </w:r>
      <w:r>
        <w:rPr>
          <w:rFonts w:hint="eastAsia" w:ascii="宋体" w:hAnsi="宋体" w:eastAsia="仿宋_GB2312" w:cs="Times New Roman"/>
          <w:sz w:val="32"/>
          <w:highlight w:val="none"/>
          <w:lang w:val="en-US" w:eastAsia="zh-CN"/>
        </w:rPr>
        <w:t>企业创新活动；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w:t>
      </w:r>
      <w:r>
        <w:rPr>
          <w:rFonts w:hint="eastAsia" w:ascii="宋体" w:hAnsi="宋体" w:eastAsia="仿宋_GB2312" w:cs="黑体"/>
          <w:sz w:val="32"/>
          <w:szCs w:val="22"/>
          <w:highlight w:val="none"/>
          <w:lang w:val="en-US" w:eastAsia="zh-CN"/>
        </w:rPr>
        <w:t>四</w:t>
      </w:r>
      <w:r>
        <w:rPr>
          <w:rFonts w:hint="eastAsia" w:ascii="宋体" w:hAnsi="宋体" w:eastAsia="仿宋_GB2312" w:cs="Times New Roman"/>
          <w:sz w:val="32"/>
          <w:highlight w:val="none"/>
          <w:lang w:val="en-US" w:eastAsia="zh-CN"/>
        </w:rPr>
        <w:t>）保险资金以股权、债权、资产支持计划等形式直接支持知识城科技项目和创新企业发展；</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黑体"/>
          <w:sz w:val="32"/>
          <w:highlight w:val="none"/>
          <w:lang w:val="en-US" w:eastAsia="zh-CN"/>
        </w:rPr>
      </w:pPr>
      <w:r>
        <w:rPr>
          <w:rFonts w:hint="eastAsia" w:ascii="宋体" w:hAnsi="宋体" w:eastAsia="仿宋_GB2312" w:cs="Times New Roman"/>
          <w:sz w:val="32"/>
          <w:highlight w:val="none"/>
          <w:lang w:val="en-US" w:eastAsia="zh-CN"/>
        </w:rPr>
        <w:t>（</w:t>
      </w:r>
      <w:r>
        <w:rPr>
          <w:rFonts w:hint="eastAsia" w:ascii="宋体" w:hAnsi="宋体" w:eastAsia="仿宋_GB2312" w:cs="黑体"/>
          <w:sz w:val="32"/>
          <w:szCs w:val="22"/>
          <w:highlight w:val="none"/>
          <w:lang w:val="en-US" w:eastAsia="zh-CN"/>
        </w:rPr>
        <w:t>五</w:t>
      </w:r>
      <w:r>
        <w:rPr>
          <w:rFonts w:hint="eastAsia" w:ascii="宋体" w:hAnsi="宋体" w:eastAsia="仿宋_GB2312" w:cs="Times New Roman"/>
          <w:sz w:val="32"/>
          <w:highlight w:val="none"/>
          <w:lang w:val="en-US" w:eastAsia="zh-CN"/>
        </w:rPr>
        <w:t>）私募基金参与创新型科技企业投资，高新技术企业开展跨境融资。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省人民政府财政、科技、工业和信息化、地方金融</w:t>
      </w:r>
      <w:r>
        <w:rPr>
          <w:rFonts w:hint="eastAsia" w:ascii="宋体" w:hAnsi="宋体" w:eastAsia="仿宋_GB2312" w:cs="黑体"/>
          <w:sz w:val="32"/>
          <w:highlight w:val="none"/>
          <w:lang w:val="en-US" w:eastAsia="zh-CN"/>
        </w:rPr>
        <w:t>监</w:t>
      </w:r>
      <w:r>
        <w:rPr>
          <w:rFonts w:hint="eastAsia" w:ascii="宋体" w:hAnsi="宋体" w:eastAsia="仿宋_GB2312" w:cs="Times New Roman"/>
          <w:sz w:val="32"/>
          <w:highlight w:val="none"/>
          <w:lang w:val="en-US" w:eastAsia="zh-CN"/>
        </w:rPr>
        <w:t>管等有关部门应当</w:t>
      </w:r>
      <w:r>
        <w:rPr>
          <w:rFonts w:hint="eastAsia" w:ascii="宋体" w:hAnsi="宋体" w:eastAsia="仿宋_GB2312" w:cs="黑体"/>
          <w:sz w:val="32"/>
          <w:highlight w:val="none"/>
          <w:lang w:val="en-US" w:eastAsia="zh-CN"/>
        </w:rPr>
        <w:t>指导和支持</w:t>
      </w:r>
      <w:r>
        <w:rPr>
          <w:rFonts w:hint="eastAsia" w:ascii="宋体" w:hAnsi="宋体" w:eastAsia="仿宋_GB2312" w:cs="Times New Roman"/>
          <w:sz w:val="32"/>
          <w:highlight w:val="none"/>
          <w:lang w:val="en-US" w:eastAsia="zh-CN"/>
        </w:rPr>
        <w:t>知识城优化金融服务。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第二十三条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支持全省重大人才管理改革创新举措在知识城先行先试。</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推动港澳医疗、教育、规划、法律等领域的专业人才在知识城便利执业。</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黑体"/>
          <w:sz w:val="32"/>
          <w:highlight w:val="none"/>
          <w:lang w:val="en-US" w:eastAsia="zh-CN"/>
        </w:rPr>
        <w:t>依照法律、行政法规或者国家规定，</w:t>
      </w:r>
      <w:r>
        <w:rPr>
          <w:rFonts w:hint="eastAsia" w:ascii="宋体" w:hAnsi="宋体" w:eastAsia="仿宋_GB2312" w:cs="Times New Roman"/>
          <w:sz w:val="32"/>
          <w:highlight w:val="none"/>
          <w:lang w:val="en-US" w:eastAsia="zh-CN"/>
        </w:rPr>
        <w:t>取得永久居留资格的外籍</w:t>
      </w:r>
      <w:r>
        <w:rPr>
          <w:rFonts w:hint="eastAsia" w:ascii="宋体" w:hAnsi="宋体" w:eastAsia="仿宋_GB2312" w:cs="黑体"/>
          <w:sz w:val="32"/>
          <w:highlight w:val="none"/>
          <w:lang w:val="en-US" w:eastAsia="zh-CN"/>
        </w:rPr>
        <w:t>高层次</w:t>
      </w:r>
      <w:r>
        <w:rPr>
          <w:rFonts w:hint="eastAsia" w:ascii="宋体" w:hAnsi="宋体" w:eastAsia="仿宋_GB2312" w:cs="Times New Roman"/>
          <w:sz w:val="32"/>
          <w:highlight w:val="none"/>
          <w:lang w:val="en-US" w:eastAsia="zh-CN"/>
        </w:rPr>
        <w:t>人才在知识城创办科技型企业享受中国籍公民同等待遇。</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支持知识城实行更加开放的境外人才引进政策，为境外人才</w:t>
      </w:r>
      <w:r>
        <w:rPr>
          <w:rFonts w:hint="eastAsia" w:ascii="宋体" w:hAnsi="宋体" w:cs="Times New Roman"/>
          <w:sz w:val="32"/>
          <w:highlight w:val="none"/>
          <w:lang w:val="en-US" w:eastAsia="zh-CN"/>
        </w:rPr>
        <w:t>在</w:t>
      </w:r>
      <w:r>
        <w:rPr>
          <w:rFonts w:hint="eastAsia" w:ascii="宋体" w:hAnsi="宋体" w:eastAsia="仿宋_GB2312" w:cs="Times New Roman"/>
          <w:sz w:val="32"/>
          <w:highlight w:val="none"/>
          <w:lang w:val="en-US" w:eastAsia="zh-CN"/>
        </w:rPr>
        <w:t>办理签证、停留居留、永久居留等方面提供便利，推动人才要素跨境流动。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第二十四条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支持国内外知名高等</w:t>
      </w:r>
      <w:r>
        <w:rPr>
          <w:rFonts w:hint="eastAsia" w:ascii="宋体" w:hAnsi="宋体" w:cs="Times New Roman"/>
          <w:sz w:val="32"/>
          <w:highlight w:val="none"/>
          <w:lang w:val="en-US" w:eastAsia="zh-CN"/>
        </w:rPr>
        <w:t>学</w:t>
      </w:r>
      <w:r>
        <w:rPr>
          <w:rFonts w:hint="eastAsia" w:ascii="宋体" w:hAnsi="宋体" w:eastAsia="仿宋_GB2312" w:cs="Times New Roman"/>
          <w:sz w:val="32"/>
          <w:highlight w:val="none"/>
          <w:lang w:val="en-US" w:eastAsia="zh-CN"/>
        </w:rPr>
        <w:t>校、科研院所、高端研究咨询机构</w:t>
      </w:r>
      <w:r>
        <w:rPr>
          <w:rFonts w:hint="eastAsia" w:ascii="宋体" w:hAnsi="宋体" w:eastAsia="仿宋_GB2312" w:cs="黑体"/>
          <w:sz w:val="32"/>
          <w:highlight w:val="none"/>
          <w:lang w:val="en-US" w:eastAsia="zh-CN"/>
        </w:rPr>
        <w:t>依法</w:t>
      </w:r>
      <w:r>
        <w:rPr>
          <w:rFonts w:hint="eastAsia" w:ascii="宋体" w:hAnsi="宋体" w:eastAsia="仿宋_GB2312" w:cs="Times New Roman"/>
          <w:sz w:val="32"/>
          <w:highlight w:val="none"/>
          <w:lang w:val="en-US" w:eastAsia="zh-CN"/>
        </w:rPr>
        <w:t>在知识城合作办学、设立研究院或者人才培训机构，培养高层次人才和技能人才，创新人才培养模式。</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支持知识城符合条件的企业</w:t>
      </w:r>
      <w:r>
        <w:rPr>
          <w:rFonts w:hint="eastAsia" w:ascii="宋体" w:hAnsi="宋体" w:eastAsia="仿宋_GB2312" w:cs="黑体"/>
          <w:sz w:val="32"/>
          <w:highlight w:val="none"/>
          <w:lang w:val="en-US" w:eastAsia="zh-CN"/>
        </w:rPr>
        <w:t>自主</w:t>
      </w:r>
      <w:r>
        <w:rPr>
          <w:rFonts w:hint="eastAsia" w:ascii="宋体" w:hAnsi="宋体" w:eastAsia="仿宋_GB2312" w:cs="Times New Roman"/>
          <w:sz w:val="32"/>
          <w:highlight w:val="none"/>
          <w:lang w:val="en-US" w:eastAsia="zh-CN"/>
        </w:rPr>
        <w:t>开展企业主</w:t>
      </w:r>
      <w:r>
        <w:rPr>
          <w:rFonts w:hint="eastAsia" w:ascii="宋体" w:hAnsi="宋体" w:eastAsia="仿宋_GB2312" w:cs="仿宋_GB2312"/>
          <w:sz w:val="32"/>
          <w:highlight w:val="none"/>
          <w:lang w:val="en-US" w:eastAsia="zh-CN"/>
        </w:rPr>
        <w:t>体专</w:t>
      </w:r>
      <w:r>
        <w:rPr>
          <w:rFonts w:hint="eastAsia" w:ascii="宋体" w:hAnsi="宋体" w:eastAsia="仿宋_GB2312" w:cs="Times New Roman"/>
          <w:sz w:val="32"/>
          <w:highlight w:val="none"/>
          <w:lang w:val="en-US" w:eastAsia="zh-CN"/>
        </w:rPr>
        <w:t>业</w:t>
      </w:r>
      <w:r>
        <w:rPr>
          <w:rFonts w:hint="eastAsia" w:ascii="宋体" w:hAnsi="宋体" w:eastAsia="仿宋_GB2312" w:cs="黑体"/>
          <w:sz w:val="32"/>
          <w:highlight w:val="none"/>
          <w:lang w:val="en-US" w:eastAsia="zh-CN"/>
        </w:rPr>
        <w:t>的</w:t>
      </w:r>
      <w:r>
        <w:rPr>
          <w:rFonts w:hint="eastAsia" w:ascii="宋体" w:hAnsi="宋体" w:eastAsia="仿宋_GB2312" w:cs="Times New Roman"/>
          <w:sz w:val="32"/>
          <w:highlight w:val="none"/>
          <w:lang w:val="en-US" w:eastAsia="zh-CN"/>
        </w:rPr>
        <w:t>职称评审。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default" w:ascii="宋体" w:hAnsi="宋体" w:eastAsia="仿宋_GB2312" w:cs="Times New Roman"/>
          <w:b/>
          <w:bCs/>
          <w:color w:val="0000FF"/>
          <w:sz w:val="32"/>
          <w:szCs w:val="32"/>
          <w:highlight w:val="none"/>
        </w:rPr>
      </w:pPr>
      <w:r>
        <w:rPr>
          <w:rFonts w:hint="eastAsia" w:ascii="宋体" w:hAnsi="宋体" w:eastAsia="黑体" w:cs="Times New Roman"/>
          <w:sz w:val="32"/>
          <w:highlight w:val="none"/>
          <w:lang w:val="en-US" w:eastAsia="zh-CN"/>
        </w:rPr>
        <w:t>第二十五条</w:t>
      </w:r>
      <w:r>
        <w:rPr>
          <w:rFonts w:hint="eastAsia" w:ascii="宋体" w:hAnsi="宋体" w:cs="Times New Roman"/>
          <w:sz w:val="32"/>
          <w:highlight w:val="none"/>
          <w:lang w:val="en-US" w:eastAsia="zh-CN"/>
        </w:rPr>
        <w:t xml:space="preserve">  </w:t>
      </w:r>
      <w:r>
        <w:rPr>
          <w:rFonts w:hint="eastAsia" w:ascii="宋体" w:hAnsi="宋体" w:eastAsia="仿宋_GB2312" w:cs="黑体"/>
          <w:i w:val="0"/>
          <w:iCs w:val="0"/>
          <w:sz w:val="32"/>
          <w:highlight w:val="none"/>
          <w:u w:val="none"/>
          <w:lang w:val="en-US" w:eastAsia="zh-CN"/>
        </w:rPr>
        <w:t>支持</w:t>
      </w:r>
      <w:r>
        <w:rPr>
          <w:rFonts w:hint="eastAsia" w:ascii="宋体" w:hAnsi="宋体" w:eastAsia="仿宋_GB2312" w:cs="Times New Roman"/>
          <w:sz w:val="32"/>
          <w:highlight w:val="none"/>
          <w:lang w:val="en-US" w:eastAsia="zh-CN"/>
        </w:rPr>
        <w:t>知识城</w:t>
      </w:r>
      <w:r>
        <w:rPr>
          <w:rFonts w:hint="eastAsia" w:ascii="宋体" w:hAnsi="宋体" w:eastAsia="仿宋_GB2312" w:cs="黑体"/>
          <w:sz w:val="32"/>
          <w:highlight w:val="none"/>
          <w:lang w:val="en-US" w:eastAsia="zh-CN"/>
        </w:rPr>
        <w:t>组织实施</w:t>
      </w:r>
      <w:r>
        <w:rPr>
          <w:rFonts w:hint="eastAsia" w:ascii="宋体" w:hAnsi="宋体" w:eastAsia="仿宋_GB2312" w:cs="Times New Roman"/>
          <w:sz w:val="32"/>
          <w:highlight w:val="none"/>
          <w:lang w:val="en-US" w:eastAsia="zh-CN"/>
        </w:rPr>
        <w:t>国际化人才奖励计划。</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知识城管委会设立人才发展专项资金，对引进的高层次人才、团队及其创新创业项目予以支持。鼓励社会组织、企业和个人发起设立人才发展基金，为知识城人才发展提供资金支持。</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在政府资助的重点创新项目中，</w:t>
      </w:r>
      <w:r>
        <w:rPr>
          <w:rFonts w:hint="eastAsia" w:ascii="宋体" w:hAnsi="宋体" w:eastAsia="仿宋_GB2312" w:cs="黑体"/>
          <w:sz w:val="32"/>
          <w:highlight w:val="none"/>
          <w:lang w:val="en-US" w:eastAsia="zh-CN"/>
        </w:rPr>
        <w:t>按照国家和省的规定</w:t>
      </w:r>
      <w:r>
        <w:rPr>
          <w:rFonts w:hint="eastAsia" w:ascii="宋体" w:hAnsi="宋体" w:eastAsia="仿宋_GB2312" w:cs="Times New Roman"/>
          <w:sz w:val="32"/>
          <w:highlight w:val="none"/>
          <w:lang w:val="en-US" w:eastAsia="zh-CN"/>
        </w:rPr>
        <w:t>赋予创新领军人才人财物支配权和技术路线决定权。</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第二十六条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省人民政府相关部门支持省级重大人才服务平台在知识城设立载体。知识城管委会应当设立一站式人才服务大厅，引进国内外一流的人力资源服务机构，为各类人才提供</w:t>
      </w:r>
      <w:r>
        <w:rPr>
          <w:rFonts w:hint="eastAsia" w:ascii="宋体" w:hAnsi="宋体" w:eastAsia="仿宋_GB2312" w:cs="黑体"/>
          <w:sz w:val="32"/>
          <w:highlight w:val="none"/>
          <w:lang w:val="en-US" w:eastAsia="zh-CN"/>
        </w:rPr>
        <w:t>专业精准</w:t>
      </w:r>
      <w:r>
        <w:rPr>
          <w:rFonts w:hint="eastAsia" w:ascii="宋体" w:hAnsi="宋体" w:eastAsia="仿宋_GB2312" w:cs="Times New Roman"/>
          <w:sz w:val="32"/>
          <w:highlight w:val="none"/>
          <w:lang w:val="en-US" w:eastAsia="zh-CN"/>
        </w:rPr>
        <w:t>服务。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知识城拓宽人才沟通渠道，开展论坛沙龙、合作拓展、创业路演、培训提升等柔性和增值服务，建立知识城人才联盟。</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第二十七条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知识城管委会应当完善普惠公平的住房保障体系，扩大人才住房保障覆盖面。探索利用集体经营性建设用地建设租赁住房。</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支持知识城医疗机构与国内外保险公司合作，开发跨境商业医疗保险产品，开展国际商业医疗保险结算，为外籍人才就医提供便利服务。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知识城管委会应当健全劳动保障监察制度，探索粤港澳大湾区跨境劳动争议替代性解决机制，完善劳动人事争议仲裁全流程网络服务，保护劳动者和用人单位双方合法权益。</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 xml:space="preserve">第四章  </w:t>
      </w:r>
      <w:r>
        <w:rPr>
          <w:rFonts w:hint="eastAsia" w:ascii="宋体" w:hAnsi="宋体" w:eastAsia="黑体" w:cs="Times New Roman"/>
          <w:sz w:val="32"/>
          <w:szCs w:val="22"/>
          <w:highlight w:val="none"/>
          <w:lang w:val="en-US" w:eastAsia="zh-CN"/>
        </w:rPr>
        <w:t>对外开放</w:t>
      </w:r>
      <w:r>
        <w:rPr>
          <w:rFonts w:hint="eastAsia" w:ascii="宋体" w:hAnsi="宋体" w:eastAsia="黑体" w:cs="Times New Roman"/>
          <w:sz w:val="32"/>
          <w:highlight w:val="none"/>
          <w:lang w:val="en-US" w:eastAsia="zh-CN"/>
        </w:rPr>
        <w:t>与合作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第二十八条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知识城应当以推动高水平开放合作为目标，拓展对外开放领域，参与粤港澳大湾区国际科技创新中心建设，深化与新加坡全方位合作，拓展共建“一带一路”开放合作，打造高水平对外开放新平台。</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第二十九条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知识城扩大金融业对外开放，探索以人民币计价结算的金融资产跨境转让业务以及本外币合一的跨境资金池业务，支持符合条件的财务公司、证券经营机构等非银行金融机构获得结售汇业务资格，推进人民币国际化先行先试。</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支持设立中新合资金融机构，支持</w:t>
      </w:r>
      <w:r>
        <w:rPr>
          <w:rFonts w:hint="eastAsia" w:ascii="宋体" w:hAnsi="宋体" w:eastAsia="仿宋_GB2312" w:cs="黑体"/>
          <w:sz w:val="32"/>
          <w:highlight w:val="none"/>
          <w:lang w:val="en-US" w:eastAsia="zh-CN"/>
        </w:rPr>
        <w:t>符合条件的</w:t>
      </w:r>
      <w:r>
        <w:rPr>
          <w:rFonts w:hint="eastAsia" w:ascii="宋体" w:hAnsi="宋体" w:eastAsia="仿宋_GB2312" w:cs="Times New Roman"/>
          <w:sz w:val="32"/>
          <w:highlight w:val="none"/>
          <w:lang w:val="en-US" w:eastAsia="zh-CN"/>
        </w:rPr>
        <w:t>新加坡金融机构在知识城设立分支机构。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第三十条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支持外商投资企业在知识城</w:t>
      </w:r>
      <w:r>
        <w:rPr>
          <w:rFonts w:hint="eastAsia" w:ascii="宋体" w:hAnsi="宋体" w:eastAsia="仿宋_GB2312" w:cs="黑体"/>
          <w:sz w:val="32"/>
          <w:highlight w:val="none"/>
          <w:lang w:val="en-US" w:eastAsia="zh-CN"/>
        </w:rPr>
        <w:t>开展</w:t>
      </w:r>
      <w:r>
        <w:rPr>
          <w:rFonts w:hint="eastAsia" w:ascii="宋体" w:hAnsi="宋体" w:eastAsia="仿宋_GB2312" w:cs="Times New Roman"/>
          <w:sz w:val="32"/>
          <w:highlight w:val="none"/>
          <w:lang w:val="en-US" w:eastAsia="zh-CN"/>
        </w:rPr>
        <w:t>现代服务业创新业务，法律法规另有规定的除外。</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支持跨区域的行业组织或者境外合格评定机构依法在知识城设立认证机构，从事相关活动。</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第三十一条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推进知识城与港澳协同发展，加强科技创新领域交流和信息资源共享。鼓励和支持建设粤港澳大湾区协同创新研究机构，设立粤港澳及海外院士专家创新创业联盟，开展学术、科技交流和科技产业合作。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知识城管委会应当建</w:t>
      </w:r>
      <w:r>
        <w:rPr>
          <w:rFonts w:hint="eastAsia" w:ascii="宋体" w:hAnsi="宋体" w:cs="Times New Roman"/>
          <w:sz w:val="32"/>
          <w:highlight w:val="none"/>
          <w:lang w:val="en-US" w:eastAsia="zh-CN"/>
        </w:rPr>
        <w:t>立</w:t>
      </w:r>
      <w:r>
        <w:rPr>
          <w:rFonts w:hint="eastAsia" w:ascii="宋体" w:hAnsi="宋体" w:eastAsia="仿宋_GB2312" w:cs="Times New Roman"/>
          <w:sz w:val="32"/>
          <w:highlight w:val="none"/>
          <w:lang w:val="en-US" w:eastAsia="zh-CN"/>
        </w:rPr>
        <w:t>粤港澳大湾区青年创新创业基地，建设粤港澳大湾区科技成果孵化和转化平台，支持港澳及海外投资机构参与投资知识城私募投资基金和创业投资基金，构建多元化、国际化、跨区域的科技创新投融资体系。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第三十二条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推进知识城在科技创新、产业发展、知识产权、人才培养、城市治理、营商环境等方面与新加坡开展合作</w:t>
      </w:r>
      <w:r>
        <w:rPr>
          <w:rFonts w:hint="eastAsia" w:ascii="宋体" w:hAnsi="宋体" w:eastAsia="仿宋_GB2312" w:cs="黑体"/>
          <w:i w:val="0"/>
          <w:iCs w:val="0"/>
          <w:sz w:val="32"/>
          <w:highlight w:val="none"/>
          <w:u w:val="none"/>
          <w:lang w:val="en-US" w:eastAsia="zh-CN"/>
        </w:rPr>
        <w:t>，</w:t>
      </w:r>
      <w:r>
        <w:rPr>
          <w:rFonts w:hint="eastAsia" w:ascii="宋体" w:hAnsi="宋体" w:eastAsia="仿宋_GB2312" w:cs="Times New Roman"/>
          <w:sz w:val="32"/>
          <w:highlight w:val="none"/>
          <w:lang w:val="en-US" w:eastAsia="zh-CN"/>
        </w:rPr>
        <w:t>建</w:t>
      </w:r>
      <w:r>
        <w:rPr>
          <w:rFonts w:hint="eastAsia" w:ascii="宋体" w:hAnsi="宋体" w:eastAsia="仿宋_GB2312" w:cs="黑体"/>
          <w:sz w:val="32"/>
          <w:highlight w:val="none"/>
          <w:lang w:val="en-US" w:eastAsia="zh-CN"/>
        </w:rPr>
        <w:t>立</w:t>
      </w:r>
      <w:r>
        <w:rPr>
          <w:rFonts w:hint="eastAsia" w:ascii="宋体" w:hAnsi="宋体" w:eastAsia="仿宋_GB2312" w:cs="Times New Roman"/>
          <w:sz w:val="32"/>
          <w:highlight w:val="none"/>
          <w:lang w:val="en-US" w:eastAsia="zh-CN"/>
        </w:rPr>
        <w:t>与国际</w:t>
      </w:r>
      <w:r>
        <w:rPr>
          <w:rFonts w:hint="eastAsia" w:ascii="宋体" w:hAnsi="宋体" w:eastAsia="仿宋_GB2312" w:cs="黑体"/>
          <w:sz w:val="32"/>
          <w:highlight w:val="none"/>
          <w:lang w:val="en-US" w:eastAsia="zh-CN"/>
        </w:rPr>
        <w:t>高标准投资贸易</w:t>
      </w:r>
      <w:r>
        <w:rPr>
          <w:rFonts w:hint="eastAsia" w:ascii="宋体" w:hAnsi="宋体" w:eastAsia="仿宋_GB2312" w:cs="Times New Roman"/>
          <w:sz w:val="32"/>
          <w:highlight w:val="none"/>
          <w:lang w:val="en-US" w:eastAsia="zh-CN"/>
        </w:rPr>
        <w:t>规则</w:t>
      </w:r>
      <w:r>
        <w:rPr>
          <w:rFonts w:hint="eastAsia" w:ascii="宋体" w:hAnsi="宋体" w:eastAsia="仿宋_GB2312" w:cs="黑体"/>
          <w:sz w:val="32"/>
          <w:highlight w:val="none"/>
          <w:lang w:val="en-US" w:eastAsia="zh-CN"/>
        </w:rPr>
        <w:t>相衔接的</w:t>
      </w:r>
      <w:r>
        <w:rPr>
          <w:rFonts w:hint="eastAsia" w:ascii="宋体" w:hAnsi="宋体" w:eastAsia="仿宋_GB2312" w:cs="Times New Roman"/>
          <w:sz w:val="32"/>
          <w:highlight w:val="none"/>
          <w:lang w:val="en-US" w:eastAsia="zh-CN"/>
        </w:rPr>
        <w:t>制度体系。</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知识城管委会应当加快中新国际科技创新合作示范区建设，加大在全球战略性新兴产业、总部经济等方面的招商引资力度和资源投入。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第三十三条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知识城建立中新广州知识城智库，对标国际高端创新论坛，打造知识领域的国际化高端战略对话平台。</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知识城应当加强与新加坡知名大学和科研院所的教育合作，为新加坡优秀大学生到知识城创新创业提供便利。</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第三十四条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支持知识城加强与“一带一路”沿线国家和地区开展交流合作，推动与东盟国家在园区共建、生物医药、教育卫生、文化旅游、生态环境保护等领域的合作。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支持在知识城搭建共建“一带一路”全面开放合作平台，建立健全科技创新合作机制。支持欧盟地区国家高端研究机构、企业在知识城设立研发中心或者分支机构。</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p>
    <w:p>
      <w:pPr>
        <w:rPr>
          <w:rFonts w:hint="eastAsia" w:ascii="宋体" w:hAnsi="宋体"/>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第五章  服务与保障</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黑体"/>
          <w:i w:val="0"/>
          <w:iCs w:val="0"/>
          <w:sz w:val="32"/>
          <w:highlight w:val="none"/>
          <w:u w:val="none"/>
          <w:lang w:val="en-US" w:eastAsia="zh-CN"/>
        </w:rPr>
        <w:t>三十五</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黑体"/>
          <w:sz w:val="32"/>
          <w:highlight w:val="none"/>
          <w:lang w:val="en-US" w:eastAsia="zh-CN"/>
        </w:rPr>
        <w:t>在</w:t>
      </w:r>
      <w:r>
        <w:rPr>
          <w:rFonts w:hint="eastAsia" w:ascii="宋体" w:hAnsi="宋体" w:eastAsia="仿宋_GB2312" w:cs="Times New Roman"/>
          <w:sz w:val="32"/>
          <w:highlight w:val="none"/>
          <w:lang w:val="en-US" w:eastAsia="zh-CN"/>
        </w:rPr>
        <w:t>知识城办理行政许可事项，实行一站式受理、信用承诺制审批、限时办结、跟踪服务等制度。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黑体"/>
          <w:sz w:val="32"/>
          <w:highlight w:val="none"/>
          <w:lang w:val="en-US" w:eastAsia="zh-CN"/>
        </w:rPr>
        <w:t>在</w:t>
      </w:r>
      <w:r>
        <w:rPr>
          <w:rFonts w:hint="eastAsia" w:ascii="宋体" w:hAnsi="宋体" w:eastAsia="仿宋_GB2312" w:cs="Times New Roman"/>
          <w:sz w:val="32"/>
          <w:highlight w:val="none"/>
          <w:lang w:val="en-US" w:eastAsia="zh-CN"/>
        </w:rPr>
        <w:t>知识城办理政策兑现事项，实行一门受理、集成服务、限时办结、免申即享等制度。</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黑体"/>
          <w:sz w:val="32"/>
          <w:highlight w:val="none"/>
          <w:lang w:val="en-US" w:eastAsia="zh-CN"/>
        </w:rPr>
        <w:t>在知识城实行经营涉及的多项许可事项与营业执照一次申请、并联审批、限时办结</w:t>
      </w:r>
      <w:r>
        <w:rPr>
          <w:rFonts w:hint="eastAsia" w:ascii="宋体" w:hAnsi="宋体" w:eastAsia="仿宋_GB2312" w:cs="Times New Roman"/>
          <w:sz w:val="32"/>
          <w:highlight w:val="none"/>
          <w:lang w:val="en-US" w:eastAsia="zh-CN"/>
        </w:rPr>
        <w:t>。</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仿宋_GB2312"/>
          <w:sz w:val="32"/>
          <w:highlight w:val="none"/>
          <w:lang w:val="en-US" w:eastAsia="zh-CN"/>
        </w:rPr>
      </w:pPr>
      <w:r>
        <w:rPr>
          <w:rFonts w:hint="eastAsia" w:ascii="宋体" w:hAnsi="宋体" w:eastAsia="黑体" w:cs="黑体"/>
          <w:sz w:val="32"/>
          <w:highlight w:val="none"/>
          <w:lang w:val="en-US" w:eastAsia="zh-CN"/>
        </w:rPr>
        <w:t>第三十六条</w:t>
      </w:r>
      <w:r>
        <w:rPr>
          <w:rFonts w:hint="eastAsia" w:ascii="宋体" w:hAnsi="宋体" w:cs="Times New Roman"/>
          <w:sz w:val="32"/>
          <w:highlight w:val="none"/>
          <w:lang w:val="en-US" w:eastAsia="zh-CN"/>
        </w:rPr>
        <w:t xml:space="preserve">  </w:t>
      </w:r>
      <w:r>
        <w:rPr>
          <w:rFonts w:hint="eastAsia" w:ascii="宋体" w:hAnsi="宋体" w:eastAsia="仿宋_GB2312" w:cs="黑体"/>
          <w:sz w:val="32"/>
          <w:highlight w:val="none"/>
          <w:lang w:val="en-US" w:eastAsia="zh-CN"/>
        </w:rPr>
        <w:t>在知识城推动</w:t>
      </w:r>
      <w:r>
        <w:rPr>
          <w:rFonts w:hint="eastAsia" w:ascii="宋体" w:hAnsi="宋体" w:eastAsia="仿宋_GB2312" w:cs="仿宋_GB2312"/>
          <w:sz w:val="32"/>
          <w:highlight w:val="none"/>
          <w:lang w:val="en-US" w:eastAsia="zh-CN"/>
        </w:rPr>
        <w:t>中新、粤港澳投资跨境商事登记</w:t>
      </w:r>
      <w:r>
        <w:rPr>
          <w:rFonts w:hint="eastAsia" w:ascii="宋体" w:hAnsi="宋体" w:eastAsia="仿宋_GB2312" w:cs="黑体"/>
          <w:sz w:val="32"/>
          <w:highlight w:val="none"/>
          <w:lang w:val="en-US" w:eastAsia="zh-CN"/>
        </w:rPr>
        <w:t>实行</w:t>
      </w:r>
      <w:r>
        <w:rPr>
          <w:rFonts w:hint="eastAsia" w:ascii="宋体" w:hAnsi="宋体" w:eastAsia="仿宋_GB2312" w:cs="仿宋_GB2312"/>
          <w:sz w:val="32"/>
          <w:highlight w:val="none"/>
          <w:lang w:val="en-US" w:eastAsia="zh-CN"/>
        </w:rPr>
        <w:t>全程电子化办理</w:t>
      </w:r>
      <w:r>
        <w:rPr>
          <w:rFonts w:hint="eastAsia" w:ascii="宋体" w:hAnsi="宋体" w:eastAsia="仿宋_GB2312" w:cs="黑体"/>
          <w:i w:val="0"/>
          <w:iCs w:val="0"/>
          <w:sz w:val="32"/>
          <w:highlight w:val="none"/>
          <w:u w:val="none"/>
          <w:lang w:val="en-US" w:eastAsia="zh-CN"/>
        </w:rPr>
        <w:t>，以及</w:t>
      </w:r>
      <w:r>
        <w:rPr>
          <w:rFonts w:hint="eastAsia" w:ascii="宋体" w:hAnsi="宋体" w:eastAsia="仿宋_GB2312" w:cs="仿宋_GB2312"/>
          <w:sz w:val="32"/>
          <w:highlight w:val="none"/>
          <w:lang w:val="en-US" w:eastAsia="zh-CN"/>
        </w:rPr>
        <w:t>粤港澳三地电子签名证书互认。</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i w:val="0"/>
          <w:iCs w:val="0"/>
          <w:sz w:val="32"/>
          <w:highlight w:val="none"/>
          <w:u w:val="none"/>
          <w:lang w:val="en-US" w:eastAsia="zh-CN"/>
        </w:rPr>
      </w:pPr>
      <w:r>
        <w:rPr>
          <w:rFonts w:hint="eastAsia" w:ascii="宋体" w:hAnsi="宋体" w:eastAsia="仿宋_GB2312" w:cs="黑体"/>
          <w:i w:val="0"/>
          <w:iCs w:val="0"/>
          <w:sz w:val="32"/>
          <w:highlight w:val="none"/>
          <w:u w:val="none"/>
          <w:lang w:val="en-US" w:eastAsia="zh-CN"/>
        </w:rPr>
        <w:t>知识城管委会应当保障</w:t>
      </w:r>
      <w:r>
        <w:rPr>
          <w:rFonts w:hint="eastAsia" w:ascii="宋体" w:hAnsi="宋体" w:eastAsia="仿宋_GB2312" w:cs="Times New Roman"/>
          <w:i w:val="0"/>
          <w:iCs w:val="0"/>
          <w:sz w:val="32"/>
          <w:highlight w:val="none"/>
          <w:u w:val="none"/>
          <w:lang w:val="en-US" w:eastAsia="zh-CN"/>
        </w:rPr>
        <w:t>国家药品监督管理局药品和医疗器械审评检查服务窗口</w:t>
      </w:r>
      <w:r>
        <w:rPr>
          <w:rFonts w:hint="eastAsia" w:ascii="宋体" w:hAnsi="宋体" w:eastAsia="仿宋_GB2312" w:cs="黑体"/>
          <w:i w:val="0"/>
          <w:iCs w:val="0"/>
          <w:sz w:val="32"/>
          <w:highlight w:val="none"/>
          <w:u w:val="none"/>
          <w:lang w:val="en-US" w:eastAsia="zh-CN"/>
        </w:rPr>
        <w:t>在知识城开展业务</w:t>
      </w:r>
      <w:r>
        <w:rPr>
          <w:rFonts w:hint="eastAsia" w:ascii="宋体" w:hAnsi="宋体" w:eastAsia="仿宋_GB2312" w:cs="Times New Roman"/>
          <w:i w:val="0"/>
          <w:iCs w:val="0"/>
          <w:sz w:val="32"/>
          <w:highlight w:val="none"/>
          <w:u w:val="none"/>
          <w:lang w:val="en-US" w:eastAsia="zh-CN"/>
        </w:rPr>
        <w:t>，为企业申请药品医疗器械注册提供便利服务。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Times New Roman"/>
          <w:i w:val="0"/>
          <w:iCs w:val="0"/>
          <w:sz w:val="32"/>
          <w:highlight w:val="none"/>
          <w:u w:val="none"/>
          <w:lang w:val="en-US" w:eastAsia="zh-CN"/>
        </w:rPr>
        <w:t>三十七</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知识城管委会应当创新</w:t>
      </w:r>
      <w:r>
        <w:rPr>
          <w:rFonts w:hint="eastAsia" w:ascii="宋体" w:hAnsi="宋体" w:cs="Times New Roman"/>
          <w:sz w:val="32"/>
          <w:highlight w:val="none"/>
          <w:lang w:val="en-US" w:eastAsia="zh-CN"/>
        </w:rPr>
        <w:t>公共服务方</w:t>
      </w:r>
      <w:r>
        <w:rPr>
          <w:rFonts w:hint="eastAsia" w:ascii="宋体" w:hAnsi="宋体" w:eastAsia="仿宋_GB2312" w:cs="Times New Roman"/>
          <w:sz w:val="32"/>
          <w:highlight w:val="none"/>
          <w:lang w:val="en-US" w:eastAsia="zh-CN"/>
        </w:rPr>
        <w:t>式，</w:t>
      </w:r>
      <w:r>
        <w:rPr>
          <w:rFonts w:hint="eastAsia" w:ascii="宋体" w:hAnsi="宋体" w:eastAsia="仿宋_GB2312" w:cs="黑体"/>
          <w:i w:val="0"/>
          <w:iCs w:val="0"/>
          <w:sz w:val="32"/>
          <w:highlight w:val="none"/>
          <w:u w:val="none"/>
          <w:lang w:val="en-US" w:eastAsia="zh-CN"/>
        </w:rPr>
        <w:t>加强与</w:t>
      </w:r>
      <w:r>
        <w:rPr>
          <w:rFonts w:hint="eastAsia" w:ascii="宋体" w:hAnsi="宋体" w:eastAsia="仿宋_GB2312" w:cs="Times New Roman"/>
          <w:i w:val="0"/>
          <w:iCs w:val="0"/>
          <w:sz w:val="32"/>
          <w:highlight w:val="none"/>
          <w:u w:val="none"/>
          <w:lang w:val="en-US" w:eastAsia="zh-CN"/>
        </w:rPr>
        <w:t>新加坡</w:t>
      </w:r>
      <w:r>
        <w:rPr>
          <w:rFonts w:hint="eastAsia" w:ascii="宋体" w:hAnsi="宋体" w:eastAsia="仿宋_GB2312" w:cs="黑体"/>
          <w:i w:val="0"/>
          <w:iCs w:val="0"/>
          <w:sz w:val="32"/>
          <w:highlight w:val="none"/>
          <w:u w:val="none"/>
          <w:lang w:val="en-US" w:eastAsia="zh-CN"/>
        </w:rPr>
        <w:t>交流互鉴</w:t>
      </w:r>
      <w:r>
        <w:rPr>
          <w:rFonts w:hint="eastAsia" w:ascii="宋体" w:hAnsi="宋体" w:eastAsia="仿宋_GB2312" w:cs="Times New Roman"/>
          <w:i w:val="0"/>
          <w:iCs w:val="0"/>
          <w:sz w:val="32"/>
          <w:highlight w:val="none"/>
          <w:u w:val="none"/>
          <w:lang w:val="en-US" w:eastAsia="zh-CN"/>
        </w:rPr>
        <w:t>，</w:t>
      </w:r>
      <w:r>
        <w:rPr>
          <w:rFonts w:hint="eastAsia" w:ascii="宋体" w:hAnsi="宋体" w:eastAsia="仿宋_GB2312" w:cs="黑体"/>
          <w:i w:val="0"/>
          <w:iCs w:val="0"/>
          <w:sz w:val="32"/>
          <w:highlight w:val="none"/>
          <w:u w:val="none"/>
          <w:lang w:val="en-US" w:eastAsia="zh-CN"/>
        </w:rPr>
        <w:t>根据需要</w:t>
      </w:r>
      <w:r>
        <w:rPr>
          <w:rFonts w:hint="eastAsia" w:ascii="宋体" w:hAnsi="宋体" w:eastAsia="仿宋_GB2312" w:cs="Times New Roman"/>
          <w:i w:val="0"/>
          <w:iCs w:val="0"/>
          <w:sz w:val="32"/>
          <w:highlight w:val="none"/>
          <w:u w:val="none"/>
          <w:lang w:val="en-US" w:eastAsia="zh-CN"/>
        </w:rPr>
        <w:t>规划</w:t>
      </w:r>
      <w:r>
        <w:rPr>
          <w:rFonts w:hint="eastAsia" w:ascii="宋体" w:hAnsi="宋体" w:eastAsia="仿宋_GB2312" w:cs="Times New Roman"/>
          <w:sz w:val="32"/>
          <w:highlight w:val="none"/>
          <w:lang w:val="en-US" w:eastAsia="zh-CN"/>
        </w:rPr>
        <w:t>建设功能齐全、服务完善的</w:t>
      </w:r>
      <w:r>
        <w:rPr>
          <w:rFonts w:hint="eastAsia" w:ascii="宋体" w:hAnsi="宋体" w:eastAsia="仿宋_GB2312" w:cs="Times New Roman"/>
          <w:i w:val="0"/>
          <w:iCs w:val="0"/>
          <w:sz w:val="32"/>
          <w:highlight w:val="none"/>
          <w:u w:val="none"/>
          <w:lang w:val="en-US" w:eastAsia="zh-CN"/>
        </w:rPr>
        <w:t>社区中心、邻里中心和街坊中心三级</w:t>
      </w:r>
      <w:r>
        <w:rPr>
          <w:rFonts w:hint="eastAsia" w:ascii="宋体" w:hAnsi="宋体" w:eastAsia="仿宋_GB2312" w:cs="Times New Roman"/>
          <w:sz w:val="32"/>
          <w:highlight w:val="none"/>
          <w:lang w:val="en-US" w:eastAsia="zh-CN"/>
        </w:rPr>
        <w:t>居民生活圈，为居民提供优质的法律、教育、医疗、卫生、文化、体育、交通、就业培训、社会保障等公共服务,建设国际化知识社区。</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Times New Roman"/>
          <w:i w:val="0"/>
          <w:iCs w:val="0"/>
          <w:sz w:val="32"/>
          <w:highlight w:val="none"/>
          <w:u w:val="none"/>
          <w:lang w:val="en-US" w:eastAsia="zh-CN"/>
        </w:rPr>
        <w:t>三十八</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管委会应当推动构建智能基础设施体系，建立城市数据资产管理体系，健全城市智能安全网络，规划建设智慧政务、智慧交通、智慧城管、智慧卫生、智慧教育、智慧社区等重点工程，推进数字知识城建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省人民政府</w:t>
      </w:r>
      <w:r>
        <w:rPr>
          <w:rFonts w:hint="eastAsia" w:ascii="宋体" w:hAnsi="宋体" w:eastAsia="仿宋_GB2312" w:cs="黑体"/>
          <w:sz w:val="32"/>
          <w:highlight w:val="none"/>
          <w:lang w:val="en-US" w:eastAsia="zh-CN"/>
        </w:rPr>
        <w:t>及其有关部门</w:t>
      </w:r>
      <w:r>
        <w:rPr>
          <w:rFonts w:hint="eastAsia" w:ascii="宋体" w:hAnsi="宋体" w:eastAsia="仿宋_GB2312" w:cs="Times New Roman"/>
          <w:sz w:val="32"/>
          <w:highlight w:val="none"/>
          <w:lang w:val="en-US" w:eastAsia="zh-CN"/>
        </w:rPr>
        <w:t>、广州市人民政府及其有关部门应当在政务服务事项办理程序规范、业务系统权限调整、数据共享等方面给予</w:t>
      </w:r>
      <w:r>
        <w:rPr>
          <w:rFonts w:hint="eastAsia" w:ascii="宋体" w:hAnsi="宋体" w:eastAsia="仿宋_GB2312" w:cs="黑体"/>
          <w:sz w:val="32"/>
          <w:highlight w:val="none"/>
          <w:lang w:val="en-US" w:eastAsia="zh-CN"/>
        </w:rPr>
        <w:t>知识城管委会</w:t>
      </w:r>
      <w:r>
        <w:rPr>
          <w:rFonts w:hint="eastAsia" w:ascii="宋体" w:hAnsi="宋体" w:eastAsia="仿宋_GB2312" w:cs="Times New Roman"/>
          <w:sz w:val="32"/>
          <w:highlight w:val="none"/>
          <w:lang w:val="en-US" w:eastAsia="zh-CN"/>
        </w:rPr>
        <w:t>支持。</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Times New Roman"/>
          <w:i w:val="0"/>
          <w:iCs w:val="0"/>
          <w:sz w:val="32"/>
          <w:szCs w:val="22"/>
          <w:highlight w:val="none"/>
          <w:u w:val="none"/>
          <w:lang w:val="en-US" w:eastAsia="zh-CN"/>
        </w:rPr>
        <w:t>三十九</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w:t>
      </w:r>
      <w:r>
        <w:rPr>
          <w:rFonts w:hint="eastAsia" w:ascii="宋体" w:hAnsi="宋体" w:cs="Times New Roman"/>
          <w:sz w:val="32"/>
          <w:highlight w:val="none"/>
          <w:lang w:val="en-US" w:eastAsia="zh-CN"/>
        </w:rPr>
        <w:t>、</w:t>
      </w:r>
      <w:r>
        <w:rPr>
          <w:rFonts w:hint="eastAsia" w:ascii="宋体" w:hAnsi="宋体" w:eastAsia="仿宋_GB2312" w:cs="Times New Roman"/>
          <w:sz w:val="32"/>
          <w:highlight w:val="none"/>
          <w:lang w:val="en-US" w:eastAsia="zh-CN"/>
        </w:rPr>
        <w:t>广州市人民政府应当加大</w:t>
      </w:r>
      <w:r>
        <w:rPr>
          <w:rFonts w:hint="eastAsia" w:ascii="宋体" w:hAnsi="宋体" w:cs="Times New Roman"/>
          <w:sz w:val="32"/>
          <w:highlight w:val="none"/>
          <w:lang w:val="en-US" w:eastAsia="zh-CN"/>
        </w:rPr>
        <w:t>财政支持</w:t>
      </w:r>
      <w:r>
        <w:rPr>
          <w:rFonts w:hint="eastAsia" w:ascii="宋体" w:hAnsi="宋体" w:eastAsia="仿宋_GB2312" w:cs="Times New Roman"/>
          <w:sz w:val="32"/>
          <w:highlight w:val="none"/>
          <w:lang w:val="en-US" w:eastAsia="zh-CN"/>
        </w:rPr>
        <w:t>力度，支持知识城经济社会建设发展。</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支持知识城管委会通过股权投资、政府投资基金等方式，带动社会资本投资知识城建设发展。</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Times New Roman"/>
          <w:i w:val="0"/>
          <w:iCs w:val="0"/>
          <w:sz w:val="32"/>
          <w:szCs w:val="22"/>
          <w:highlight w:val="none"/>
          <w:u w:val="none"/>
          <w:lang w:val="en-US" w:eastAsia="zh-CN"/>
        </w:rPr>
        <w:t>四十</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知识城管委会应当依据上级国土空间规划和知识城总体发展规划，组织编制知识城国土空间规划和相关专项规划，依照法定程序报批。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经批准的相关规划</w:t>
      </w:r>
      <w:r>
        <w:rPr>
          <w:rFonts w:hint="eastAsia" w:ascii="宋体" w:hAnsi="宋体" w:cs="Times New Roman"/>
          <w:sz w:val="32"/>
          <w:highlight w:val="none"/>
          <w:lang w:val="en-US" w:eastAsia="zh-CN"/>
        </w:rPr>
        <w:t>，</w:t>
      </w:r>
      <w:r>
        <w:rPr>
          <w:rFonts w:hint="eastAsia" w:ascii="宋体" w:hAnsi="宋体" w:eastAsia="仿宋_GB2312" w:cs="Times New Roman"/>
          <w:sz w:val="32"/>
          <w:highlight w:val="none"/>
          <w:lang w:val="en-US" w:eastAsia="zh-CN"/>
        </w:rPr>
        <w:t>应当严格执行</w:t>
      </w:r>
      <w:r>
        <w:rPr>
          <w:rFonts w:hint="eastAsia" w:ascii="宋体" w:hAnsi="宋体" w:cs="Times New Roman"/>
          <w:sz w:val="32"/>
          <w:highlight w:val="none"/>
          <w:lang w:val="en-US" w:eastAsia="zh-CN"/>
        </w:rPr>
        <w:t>，</w:t>
      </w:r>
      <w:r>
        <w:rPr>
          <w:rFonts w:hint="eastAsia" w:ascii="宋体" w:hAnsi="宋体" w:eastAsia="仿宋_GB2312" w:cs="Times New Roman"/>
          <w:sz w:val="32"/>
          <w:highlight w:val="none"/>
          <w:lang w:val="en-US" w:eastAsia="zh-CN"/>
        </w:rPr>
        <w:t>未经法定程序不得修改。</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第四十</w:t>
      </w:r>
      <w:r>
        <w:rPr>
          <w:rFonts w:hint="eastAsia" w:ascii="宋体" w:hAnsi="宋体" w:eastAsia="黑体" w:cs="Times New Roman"/>
          <w:i w:val="0"/>
          <w:iCs w:val="0"/>
          <w:sz w:val="32"/>
          <w:highlight w:val="none"/>
          <w:u w:val="none"/>
          <w:lang w:val="en-US" w:eastAsia="zh-CN"/>
        </w:rPr>
        <w:t>一</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省人民政府、广州市人民政府优先支持知识城重点建设项目用林需求。</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知识城推行清单制方式出让产业用地，</w:t>
      </w:r>
      <w:r>
        <w:rPr>
          <w:rFonts w:hint="eastAsia" w:ascii="宋体" w:hAnsi="宋体" w:eastAsia="仿宋_GB2312" w:cs="黑体"/>
          <w:sz w:val="32"/>
          <w:highlight w:val="none"/>
          <w:lang w:val="en-US" w:eastAsia="zh-CN"/>
        </w:rPr>
        <w:t>按照国家和省的规定</w:t>
      </w:r>
      <w:r>
        <w:rPr>
          <w:rFonts w:hint="eastAsia" w:ascii="宋体" w:hAnsi="宋体" w:eastAsia="仿宋_GB2312" w:cs="Times New Roman"/>
          <w:sz w:val="32"/>
          <w:highlight w:val="none"/>
          <w:lang w:val="en-US" w:eastAsia="zh-CN"/>
        </w:rPr>
        <w:t>探索二三产业混合用地供给。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产业用地采取差别化使用年限模式供给。对可以利用标准厂房生产的工业项目，原则上购买或者承租标准厂房；确需购置土地自行建设的，可以采用先租赁后按照弹性年限出让或者直接按照弹性年限出让模式供地。</w:t>
      </w:r>
      <w:r>
        <w:rPr>
          <w:rFonts w:hint="eastAsia" w:ascii="宋体" w:hAnsi="宋体" w:eastAsia="仿宋_GB2312" w:cs="黑体"/>
          <w:sz w:val="32"/>
          <w:highlight w:val="none"/>
          <w:lang w:val="en-US" w:eastAsia="zh-CN"/>
        </w:rPr>
        <w:t>支持知识城</w:t>
      </w:r>
      <w:r>
        <w:rPr>
          <w:rFonts w:hint="eastAsia" w:ascii="宋体" w:hAnsi="宋体" w:eastAsia="仿宋_GB2312" w:cs="Times New Roman"/>
          <w:sz w:val="32"/>
          <w:highlight w:val="none"/>
          <w:lang w:val="en-US" w:eastAsia="zh-CN"/>
        </w:rPr>
        <w:t>拓展产业发展空间，按照有关规定和程序给予知识城预支存量建设用地奖励指标。</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Times New Roman"/>
          <w:i w:val="0"/>
          <w:iCs w:val="0"/>
          <w:sz w:val="32"/>
          <w:szCs w:val="22"/>
          <w:highlight w:val="none"/>
          <w:u w:val="none"/>
          <w:lang w:val="en-US" w:eastAsia="zh-CN"/>
        </w:rPr>
        <w:t>四十二</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应当加大对知识城轨道交通、快速公路等重大公共基础设施建设的政策支持力度。省人民政府发展改革、交通运输等主管部门在基础设施以及其他公共服务配套设施规划中，统筹建设知识城与周边地区以及粤港澳大湾区主要城市之间的快速直达交通干线，实施高快速轨道交通、管网综合同步建设，使其相互衔接。</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知识城管委会打造多层次雨洪调蓄利用系统，高标准建设排水系统，全面推进海绵城市建设。</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Times New Roman"/>
          <w:i w:val="0"/>
          <w:iCs w:val="0"/>
          <w:sz w:val="32"/>
          <w:szCs w:val="22"/>
          <w:highlight w:val="none"/>
          <w:u w:val="none"/>
          <w:lang w:val="en-US" w:eastAsia="zh-CN"/>
        </w:rPr>
        <w:t>四十三</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知识城可以按照机构编制管理规定调整内设机构、职能和人员，推进机构设置和职能配置优化协同高效。</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知识城的事业单位专业技术岗位高级、中级、初级岗位结构比例</w:t>
      </w:r>
      <w:r>
        <w:rPr>
          <w:rFonts w:hint="eastAsia" w:ascii="宋体" w:hAnsi="宋体" w:eastAsia="仿宋_GB2312" w:cs="黑体"/>
          <w:sz w:val="32"/>
          <w:highlight w:val="none"/>
          <w:lang w:val="en-US" w:eastAsia="zh-CN"/>
        </w:rPr>
        <w:t>参</w:t>
      </w:r>
      <w:r>
        <w:rPr>
          <w:rFonts w:hint="eastAsia" w:ascii="宋体" w:hAnsi="宋体" w:eastAsia="仿宋_GB2312" w:cs="Times New Roman"/>
          <w:sz w:val="32"/>
          <w:highlight w:val="none"/>
          <w:lang w:val="en-US" w:eastAsia="zh-CN"/>
        </w:rPr>
        <w:t>照</w:t>
      </w:r>
      <w:r>
        <w:rPr>
          <w:rFonts w:hint="eastAsia" w:ascii="宋体" w:hAnsi="宋体" w:eastAsia="仿宋_GB2312" w:cs="黑体"/>
          <w:sz w:val="32"/>
          <w:highlight w:val="none"/>
          <w:lang w:val="en-US" w:eastAsia="zh-CN"/>
        </w:rPr>
        <w:t>广州</w:t>
      </w:r>
      <w:r>
        <w:rPr>
          <w:rFonts w:hint="eastAsia" w:ascii="宋体" w:hAnsi="宋体" w:eastAsia="仿宋_GB2312" w:cs="Times New Roman"/>
          <w:sz w:val="32"/>
          <w:highlight w:val="none"/>
          <w:lang w:val="en-US" w:eastAsia="zh-CN"/>
        </w:rPr>
        <w:t>市属机构标准设置。</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知识城管委会应当对其管理机构以及行政管理职责、公共服务范围予以明确，并向社会公布。</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鼓励知识城管委会在行政管理体制、机构运行模式等方面进行创新。</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Times New Roman"/>
          <w:i w:val="0"/>
          <w:iCs w:val="0"/>
          <w:sz w:val="32"/>
          <w:highlight w:val="none"/>
          <w:u w:val="none"/>
          <w:lang w:val="en-US" w:eastAsia="zh-CN"/>
        </w:rPr>
        <w:t>四十四</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支持人民法院、仲裁机构、调解组织加强国际交流合作，在知识城建立调解、仲裁、诉讼有机衔接的纠纷解决平台，完善国际化的多元化纠纷解决机制。</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支持在知识城注册的企业约定在境内特定地点、按照特定规则、由特定人员对有关争议进行调解。</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仿宋_GB2312" w:cs="Times New Roman"/>
          <w:sz w:val="32"/>
          <w:highlight w:val="none"/>
          <w:lang w:val="en-US" w:eastAsia="zh-CN"/>
        </w:rPr>
        <w:t>支持司法行政机关推进法律服务业对外开放，支持登记备案的境外商事纠纷解决机构按照规定在知识城开展业务。</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szCs w:val="2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黑体"/>
          <w:sz w:val="32"/>
          <w:highlight w:val="none"/>
          <w:lang w:val="en-US" w:eastAsia="zh-CN"/>
        </w:rPr>
        <w:t>四十五</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省人民政府、广州市人民政府应当建立知识城总体发展规划实施情况监督考核制度，对规划实施全过程实行</w:t>
      </w:r>
      <w:r>
        <w:rPr>
          <w:rFonts w:hint="eastAsia" w:ascii="宋体" w:hAnsi="宋体" w:eastAsia="仿宋_GB2312" w:cs="Times New Roman"/>
          <w:sz w:val="32"/>
          <w:szCs w:val="22"/>
          <w:highlight w:val="none"/>
          <w:lang w:val="en-US" w:eastAsia="zh-CN"/>
        </w:rPr>
        <w:t>信息化监管，</w:t>
      </w:r>
      <w:r>
        <w:rPr>
          <w:rFonts w:hint="eastAsia" w:ascii="宋体" w:hAnsi="宋体" w:cs="Times New Roman"/>
          <w:sz w:val="32"/>
          <w:szCs w:val="22"/>
          <w:highlight w:val="none"/>
          <w:lang w:val="en-US" w:eastAsia="zh-CN"/>
        </w:rPr>
        <w:t>并</w:t>
      </w:r>
      <w:r>
        <w:rPr>
          <w:rFonts w:hint="eastAsia" w:ascii="宋体" w:hAnsi="宋体" w:eastAsia="仿宋_GB2312" w:cs="Times New Roman"/>
          <w:sz w:val="32"/>
          <w:szCs w:val="22"/>
          <w:highlight w:val="none"/>
          <w:lang w:val="en-US" w:eastAsia="zh-CN"/>
        </w:rPr>
        <w:t>定期发布监测报告。</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szCs w:val="22"/>
          <w:highlight w:val="none"/>
          <w:lang w:val="en-US" w:eastAsia="zh-CN"/>
        </w:rPr>
      </w:pPr>
      <w:r>
        <w:rPr>
          <w:rFonts w:hint="eastAsia" w:ascii="宋体" w:hAnsi="宋体" w:eastAsia="仿宋_GB2312" w:cs="Times New Roman"/>
          <w:sz w:val="32"/>
          <w:szCs w:val="22"/>
          <w:highlight w:val="none"/>
          <w:lang w:val="en-US" w:eastAsia="zh-CN"/>
        </w:rPr>
        <w:t>省人民政府应当建立知识城总体发展规划以及本条例实施情况评估制度，定期组织或者委托第三方开展评估。</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黑体"/>
          <w:sz w:val="32"/>
          <w:highlight w:val="none"/>
          <w:lang w:val="en-US" w:eastAsia="zh-CN"/>
        </w:rPr>
        <w:t>四十六</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省人民政府、广州市人民政府、知识城所在地区人民政府及其有关部门以及知识城管委会，在知识城建设发展中不履行或者不正确履行职责的，依照法律法规和国家有关规定追究责任，对直接负责的主管人员和其他直接责任人员依法给予处分。</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center"/>
        <w:textAlignment w:val="auto"/>
        <w:outlineLvl w:val="9"/>
        <w:rPr>
          <w:rFonts w:hint="eastAsia" w:ascii="宋体" w:hAnsi="宋体" w:eastAsia="黑体" w:cs="Times New Roman"/>
          <w:sz w:val="32"/>
          <w:highlight w:val="none"/>
          <w:lang w:val="en-US" w:eastAsia="zh-CN"/>
        </w:rPr>
      </w:pPr>
      <w:r>
        <w:rPr>
          <w:rFonts w:hint="eastAsia" w:ascii="宋体" w:hAnsi="宋体" w:eastAsia="黑体" w:cs="Times New Roman"/>
          <w:sz w:val="32"/>
          <w:highlight w:val="none"/>
          <w:lang w:val="en-US" w:eastAsia="zh-CN"/>
        </w:rPr>
        <w:t>第六章  附　则</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黑体" w:cs="Times New Roman"/>
          <w:sz w:val="32"/>
          <w:highlight w:val="none"/>
          <w:lang w:val="en-US" w:eastAsia="zh-CN"/>
        </w:rPr>
      </w:pP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firstLine="632" w:firstLineChars="200"/>
        <w:jc w:val="both"/>
        <w:textAlignment w:val="auto"/>
        <w:outlineLvl w:val="9"/>
        <w:rPr>
          <w:rFonts w:hint="eastAsia" w:ascii="宋体" w:hAnsi="宋体" w:eastAsia="仿宋_GB2312" w:cs="Times New Roman"/>
          <w:sz w:val="32"/>
          <w:lang w:val="en-US" w:eastAsia="zh-CN"/>
        </w:rPr>
      </w:pPr>
      <w:r>
        <w:rPr>
          <w:rFonts w:hint="eastAsia" w:ascii="宋体" w:hAnsi="宋体" w:eastAsia="黑体" w:cs="Times New Roman"/>
          <w:sz w:val="32"/>
          <w:highlight w:val="none"/>
          <w:lang w:val="en-US" w:eastAsia="zh-CN"/>
        </w:rPr>
        <w:t>第</w:t>
      </w:r>
      <w:r>
        <w:rPr>
          <w:rFonts w:hint="eastAsia" w:ascii="宋体" w:hAnsi="宋体" w:eastAsia="黑体" w:cs="黑体"/>
          <w:sz w:val="32"/>
          <w:highlight w:val="none"/>
          <w:lang w:val="en-US" w:eastAsia="zh-CN"/>
        </w:rPr>
        <w:t>四十七</w:t>
      </w:r>
      <w:r>
        <w:rPr>
          <w:rFonts w:hint="eastAsia" w:ascii="宋体" w:hAnsi="宋体" w:eastAsia="黑体" w:cs="Times New Roman"/>
          <w:sz w:val="32"/>
          <w:highlight w:val="none"/>
          <w:lang w:val="en-US" w:eastAsia="zh-CN"/>
        </w:rPr>
        <w:t>条</w:t>
      </w:r>
      <w:r>
        <w:rPr>
          <w:rFonts w:hint="eastAsia" w:ascii="宋体" w:hAnsi="宋体" w:cs="Times New Roman"/>
          <w:sz w:val="32"/>
          <w:highlight w:val="none"/>
          <w:lang w:val="en-US" w:eastAsia="zh-CN"/>
        </w:rPr>
        <w:t xml:space="preserve">  </w:t>
      </w:r>
      <w:r>
        <w:rPr>
          <w:rFonts w:hint="eastAsia" w:ascii="宋体" w:hAnsi="宋体" w:eastAsia="仿宋_GB2312" w:cs="Times New Roman"/>
          <w:sz w:val="32"/>
          <w:highlight w:val="none"/>
          <w:lang w:val="en-US" w:eastAsia="zh-CN"/>
        </w:rPr>
        <w:t>本条例自</w:t>
      </w:r>
      <w:r>
        <w:rPr>
          <w:rFonts w:hint="eastAsia" w:ascii="宋体" w:hAnsi="宋体" w:cs="Times New Roman"/>
          <w:sz w:val="32"/>
          <w:highlight w:val="none"/>
          <w:lang w:val="en-US" w:eastAsia="zh-CN"/>
        </w:rPr>
        <w:t>2022</w:t>
      </w:r>
      <w:r>
        <w:rPr>
          <w:rFonts w:hint="eastAsia" w:ascii="宋体" w:hAnsi="宋体" w:eastAsia="仿宋_GB2312" w:cs="Times New Roman"/>
          <w:sz w:val="32"/>
          <w:highlight w:val="none"/>
          <w:lang w:val="en-US" w:eastAsia="zh-CN"/>
        </w:rPr>
        <w:t>年</w:t>
      </w:r>
      <w:r>
        <w:rPr>
          <w:rFonts w:hint="eastAsia" w:ascii="宋体" w:hAnsi="宋体" w:cs="Times New Roman"/>
          <w:sz w:val="32"/>
          <w:highlight w:val="none"/>
          <w:lang w:val="en-US" w:eastAsia="zh-CN"/>
        </w:rPr>
        <w:t>3</w:t>
      </w:r>
      <w:r>
        <w:rPr>
          <w:rFonts w:hint="eastAsia" w:ascii="宋体" w:hAnsi="宋体" w:eastAsia="仿宋_GB2312" w:cs="Times New Roman"/>
          <w:sz w:val="32"/>
          <w:highlight w:val="none"/>
          <w:lang w:val="en-US" w:eastAsia="zh-CN"/>
        </w:rPr>
        <w:t>月</w:t>
      </w:r>
      <w:r>
        <w:rPr>
          <w:rFonts w:hint="eastAsia" w:ascii="宋体" w:hAnsi="宋体" w:cs="Times New Roman"/>
          <w:sz w:val="32"/>
          <w:highlight w:val="none"/>
          <w:lang w:val="en-US" w:eastAsia="zh-CN"/>
        </w:rPr>
        <w:t>1</w:t>
      </w:r>
      <w:r>
        <w:rPr>
          <w:rFonts w:hint="eastAsia" w:ascii="宋体" w:hAnsi="宋体" w:eastAsia="仿宋_GB2312" w:cs="Times New Roman"/>
          <w:sz w:val="32"/>
          <w:highlight w:val="none"/>
          <w:lang w:val="en-US" w:eastAsia="zh-CN"/>
        </w:rPr>
        <w:t>日起施行。</w:t>
      </w:r>
    </w:p>
    <w:p>
      <w:pPr>
        <w:keepNext w:val="0"/>
        <w:keepLines w:val="0"/>
        <w:pageBreakBefore w:val="0"/>
        <w:widowControl w:val="0"/>
        <w:kinsoku/>
        <w:wordWrap/>
        <w:overflowPunct/>
        <w:topLinePunct w:val="0"/>
        <w:autoSpaceDE/>
        <w:autoSpaceDN/>
        <w:bidi w:val="0"/>
        <w:adjustRightInd w:val="0"/>
        <w:snapToGrid/>
        <w:spacing w:line="590" w:lineRule="exact"/>
        <w:ind w:left="0" w:leftChars="0" w:right="0" w:rightChars="0"/>
        <w:jc w:val="both"/>
        <w:textAlignment w:val="auto"/>
        <w:outlineLvl w:val="9"/>
        <w:rPr>
          <w:rFonts w:hint="eastAsia" w:ascii="宋体" w:hAnsi="宋体" w:eastAsia="仿宋_GB2312" w:cs="Times New Roman"/>
          <w:sz w:val="32"/>
          <w:lang w:val="en-US" w:eastAsia="zh-CN"/>
        </w:rPr>
      </w:pPr>
    </w:p>
    <w:p>
      <w:pPr>
        <w:keepNext w:val="0"/>
        <w:keepLines w:val="0"/>
        <w:pageBreakBefore w:val="0"/>
        <w:widowControl w:val="0"/>
        <w:kinsoku/>
        <w:wordWrap w:val="0"/>
        <w:overflowPunct/>
        <w:topLinePunct w:val="0"/>
        <w:autoSpaceDE/>
        <w:autoSpaceDN/>
        <w:bidi w:val="0"/>
        <w:adjustRightInd w:val="0"/>
        <w:snapToGrid/>
        <w:spacing w:line="590" w:lineRule="exact"/>
        <w:ind w:left="0" w:leftChars="0" w:right="0" w:rightChars="0"/>
        <w:jc w:val="both"/>
        <w:textAlignment w:val="auto"/>
        <w:outlineLvl w:val="9"/>
        <w:rPr>
          <w:rFonts w:hint="default" w:ascii="宋体" w:hAnsi="宋体" w:eastAsia="仿宋_GB2312" w:cs="Times New Roman"/>
          <w:sz w:val="32"/>
          <w:lang w:val="en-US" w:eastAsia="zh-CN"/>
        </w:rPr>
      </w:pPr>
    </w:p>
    <w:p>
      <w:pPr>
        <w:pStyle w:val="2"/>
        <w:pageBreakBefore w:val="0"/>
        <w:kinsoku/>
        <w:topLinePunct w:val="0"/>
        <w:autoSpaceDN/>
        <w:bidi w:val="0"/>
        <w:spacing w:before="0" w:after="0" w:line="590" w:lineRule="exact"/>
        <w:ind w:left="0" w:leftChars="0"/>
        <w:textAlignment w:val="auto"/>
        <w:rPr>
          <w:rFonts w:hint="default" w:ascii="宋体" w:hAnsi="宋体"/>
          <w:lang w:eastAsia="zh-CN"/>
        </w:rPr>
      </w:pPr>
    </w:p>
    <w:p>
      <w:pPr>
        <w:pageBreakBefore w:val="0"/>
        <w:kinsoku/>
        <w:topLinePunct w:val="0"/>
        <w:autoSpaceDN/>
        <w:bidi w:val="0"/>
        <w:spacing w:line="590" w:lineRule="exact"/>
        <w:ind w:left="0" w:leftChars="0"/>
        <w:textAlignment w:val="auto"/>
        <w:rPr>
          <w:rFonts w:hint="default" w:ascii="宋体" w:hAnsi="宋体"/>
          <w:lang w:eastAsia="zh-CN"/>
        </w:rPr>
      </w:pPr>
    </w:p>
    <w:p>
      <w:pPr>
        <w:pStyle w:val="2"/>
        <w:pageBreakBefore w:val="0"/>
        <w:kinsoku/>
        <w:topLinePunct w:val="0"/>
        <w:autoSpaceDN/>
        <w:bidi w:val="0"/>
        <w:spacing w:before="0" w:after="0" w:line="590" w:lineRule="exact"/>
        <w:ind w:left="0" w:leftChars="0"/>
        <w:textAlignment w:val="auto"/>
        <w:rPr>
          <w:rFonts w:hint="default" w:ascii="宋体" w:hAnsi="宋体"/>
          <w:lang w:eastAsia="zh-CN"/>
        </w:rPr>
      </w:pPr>
    </w:p>
    <w:p>
      <w:pPr>
        <w:pageBreakBefore w:val="0"/>
        <w:kinsoku/>
        <w:topLinePunct w:val="0"/>
        <w:autoSpaceDN/>
        <w:bidi w:val="0"/>
        <w:spacing w:line="590" w:lineRule="exact"/>
        <w:ind w:left="0" w:leftChars="0"/>
        <w:textAlignment w:val="auto"/>
        <w:rPr>
          <w:rFonts w:hint="default" w:ascii="宋体" w:hAnsi="宋体"/>
          <w:lang w:eastAsia="zh-CN"/>
        </w:rPr>
      </w:pPr>
    </w:p>
    <w:p>
      <w:pPr>
        <w:keepNext w:val="0"/>
        <w:keepLines w:val="0"/>
        <w:pageBreakBefore w:val="0"/>
        <w:widowControl w:val="0"/>
        <w:kinsoku/>
        <w:wordWrap/>
        <w:overflowPunct/>
        <w:topLinePunct w:val="0"/>
        <w:autoSpaceDE/>
        <w:autoSpaceDN/>
        <w:bidi w:val="0"/>
        <w:adjustRightInd/>
        <w:snapToGrid/>
        <w:spacing w:line="590" w:lineRule="exact"/>
        <w:ind w:left="0" w:leftChars="0"/>
        <w:jc w:val="both"/>
        <w:textAlignment w:val="auto"/>
        <w:outlineLvl w:val="9"/>
        <w:rPr>
          <w:rFonts w:hint="eastAsia" w:ascii="宋体" w:hAnsi="宋体" w:eastAsia="黑体" w:cs="黑体"/>
          <w:sz w:val="44"/>
          <w:szCs w:val="44"/>
          <w:lang w:val="en-US" w:eastAsia="zh-CN" w:bidi="ar-SA"/>
        </w:rPr>
      </w:pPr>
    </w:p>
    <w:sectPr>
      <w:footerReference r:id="rId3" w:type="default"/>
      <w:footerReference r:id="rId4" w:type="even"/>
      <w:pgSz w:w="11907" w:h="16840"/>
      <w:pgMar w:top="1984" w:right="1531" w:bottom="1871" w:left="1531" w:header="0" w:footer="1361" w:gutter="0"/>
      <w:pgNumType w:fmt="decimal"/>
      <w:cols w:space="720" w:num="1"/>
      <w:rtlGutter w:val="0"/>
      <w:docGrid w:type="linesAndChars" w:linePitch="590"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DejaVu Sans"/>
    <w:panose1 w:val="02020603050405020304"/>
    <w:charset w:val="86"/>
    <w:family w:val="auto"/>
    <w:pitch w:val="default"/>
    <w:sig w:usb0="00000000" w:usb1="00000000" w:usb2="00000008" w:usb3="00000000" w:csb0="400001FF" w:csb1="FFFF0000"/>
  </w:font>
  <w:font w:name="宋体">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方正黑体_GBK"/>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altName w:val="方正仿宋_GBK"/>
    <w:panose1 w:val="02010609030101010101"/>
    <w:charset w:val="86"/>
    <w:family w:val="auto"/>
    <w:pitch w:val="default"/>
    <w:sig w:usb0="00000000" w:usb1="00000000" w:usb2="00000000" w:usb3="00000000" w:csb0="00040000" w:csb1="00000000"/>
  </w:font>
  <w:font w:name="Tahoma">
    <w:altName w:val="DejaVu Sans"/>
    <w:panose1 w:val="020B0604030504040204"/>
    <w:charset w:val="00"/>
    <w:family w:val="auto"/>
    <w:pitch w:val="default"/>
    <w:sig w:usb0="00000000" w:usb1="00000000" w:usb2="00000008" w:usb3="00000000" w:csb0="200101FF" w:csb1="20280000"/>
  </w:font>
  <w:font w:name="方正小标宋简体">
    <w:panose1 w:val="02000000000000000000"/>
    <w:charset w:val="86"/>
    <w:family w:val="auto"/>
    <w:pitch w:val="default"/>
    <w:sig w:usb0="A00002BF" w:usb1="184F6CFA" w:usb2="00000012" w:usb3="00000000" w:csb0="00040001" w:csb1="00000000"/>
  </w:font>
  <w:font w:name="Cambria">
    <w:altName w:val="Noto Sans Syriac Eastern"/>
    <w:panose1 w:val="02040503050406030204"/>
    <w:charset w:val="00"/>
    <w:family w:val="roman"/>
    <w:pitch w:val="default"/>
    <w:sig w:usb0="00000000" w:usb1="00000000" w:usb2="00000000" w:usb3="00000000" w:csb0="2000009F" w:csb1="00000000"/>
  </w:font>
  <w:font w:name="Calibri Light">
    <w:altName w:val="DejaVu Sans"/>
    <w:panose1 w:val="020F0302020204030204"/>
    <w:charset w:val="00"/>
    <w:family w:val="auto"/>
    <w:pitch w:val="default"/>
    <w:sig w:usb0="00000000" w:usb1="00000000" w:usb2="00000000" w:usb3="00000000" w:csb0="2000019F" w:csb1="00000000"/>
  </w:font>
  <w:font w:name=".PingFang SC">
    <w:altName w:val="汉仪仿宋S"/>
    <w:panose1 w:val="00000000000000000000"/>
    <w:charset w:val="86"/>
    <w:family w:val="swiss"/>
    <w:pitch w:val="default"/>
    <w:sig w:usb0="00000000" w:usb1="00000000" w:usb2="00000010" w:usb3="00000000" w:csb0="00040000" w:csb1="00000000"/>
  </w:font>
  <w:font w:name="Arial Unicode MS">
    <w:altName w:val="DejaVu Sans"/>
    <w:panose1 w:val="020B0604020202020204"/>
    <w:charset w:val="86"/>
    <w:family w:val="modern"/>
    <w:pitch w:val="default"/>
    <w:sig w:usb0="00000000" w:usb1="00000000" w:usb2="0000003F" w:usb3="00000000" w:csb0="603F01FF" w:csb1="FFFF0000"/>
  </w:font>
  <w:font w:name="方正仿宋_GBK">
    <w:panose1 w:val="02000000000000000000"/>
    <w:charset w:val="86"/>
    <w:family w:val="auto"/>
    <w:pitch w:val="default"/>
    <w:sig w:usb0="00000001" w:usb1="08000000" w:usb2="00000000" w:usb3="00000000" w:csb0="00040000" w:csb1="00000000"/>
  </w:font>
  <w:font w:name="楷体_GB2312">
    <w:altName w:val="方正楷体_GBK"/>
    <w:panose1 w:val="02010609030101010101"/>
    <w:charset w:val="86"/>
    <w:family w:val="modern"/>
    <w:pitch w:val="default"/>
    <w:sig w:usb0="00000000" w:usb1="00000000" w:usb2="00000000" w:usb3="00000000" w:csb0="00040000" w:csb1="00000000"/>
  </w:font>
  <w:font w:name="方正小标宋_GBK">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 w:name="汉仪仿宋S">
    <w:panose1 w:val="00020600040101000101"/>
    <w:charset w:val="86"/>
    <w:family w:val="auto"/>
    <w:pitch w:val="default"/>
    <w:sig w:usb0="A00002BF" w:usb1="38CF7CFA" w:usb2="00000016" w:usb3="00000000" w:csb0="0004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val="0"/>
      <w:overflowPunct/>
      <w:topLinePunct w:val="0"/>
      <w:autoSpaceDE/>
      <w:autoSpaceDN/>
      <w:bidi w:val="0"/>
      <w:adjustRightInd/>
      <w:snapToGrid w:val="0"/>
      <w:spacing w:line="240" w:lineRule="auto"/>
      <w:ind w:left="0" w:leftChars="0" w:right="320" w:rightChars="100" w:firstLine="0" w:firstLineChars="0"/>
      <w:jc w:val="right"/>
      <w:textAlignment w:val="auto"/>
      <w:outlineLvl w:val="9"/>
      <w:rPr>
        <w:rFonts w:hint="eastAsia" w:ascii="宋体" w:hAnsi="宋体" w:eastAsia="宋体" w:cs="宋体"/>
        <w:sz w:val="28"/>
        <w:szCs w:val="28"/>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keepNext w:val="0"/>
      <w:keepLines w:val="0"/>
      <w:pageBreakBefore w:val="0"/>
      <w:widowControl w:val="0"/>
      <w:kinsoku/>
      <w:wordWrap/>
      <w:overflowPunct/>
      <w:topLinePunct w:val="0"/>
      <w:autoSpaceDE/>
      <w:autoSpaceDN/>
      <w:bidi w:val="0"/>
      <w:adjustRightInd/>
      <w:snapToGrid w:val="0"/>
      <w:spacing w:line="240" w:lineRule="auto"/>
      <w:ind w:left="0" w:leftChars="0" w:right="0" w:rightChars="0" w:firstLine="280" w:firstLineChars="100"/>
      <w:jc w:val="both"/>
      <w:textAlignment w:val="auto"/>
      <w:outlineLvl w:val="9"/>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3"/>
  <w:bordersDoNotSurroundHeader w:val="true"/>
  <w:bordersDoNotSurroundFooter w:val="true"/>
  <w:documentProtection w:enforcement="0"/>
  <w:defaultTabStop w:val="420"/>
  <w:hyphenationZone w:val="360"/>
  <w:evenAndOddHeaders w:val="true"/>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C7BE2"/>
    <w:rsid w:val="007174BD"/>
    <w:rsid w:val="036674C5"/>
    <w:rsid w:val="03884874"/>
    <w:rsid w:val="05D13273"/>
    <w:rsid w:val="06866278"/>
    <w:rsid w:val="086F19DD"/>
    <w:rsid w:val="0A1707EC"/>
    <w:rsid w:val="0D5A220C"/>
    <w:rsid w:val="0DC10F3C"/>
    <w:rsid w:val="0F0C1338"/>
    <w:rsid w:val="0F3C7199"/>
    <w:rsid w:val="0F9241F2"/>
    <w:rsid w:val="0F9E114E"/>
    <w:rsid w:val="103C00B6"/>
    <w:rsid w:val="11361CF6"/>
    <w:rsid w:val="12272E15"/>
    <w:rsid w:val="12833C7B"/>
    <w:rsid w:val="128D47BB"/>
    <w:rsid w:val="131C3A9F"/>
    <w:rsid w:val="13371800"/>
    <w:rsid w:val="15572784"/>
    <w:rsid w:val="15626C01"/>
    <w:rsid w:val="170D64D1"/>
    <w:rsid w:val="17402747"/>
    <w:rsid w:val="176B60F3"/>
    <w:rsid w:val="17A56954"/>
    <w:rsid w:val="18394C82"/>
    <w:rsid w:val="18644411"/>
    <w:rsid w:val="19EE1972"/>
    <w:rsid w:val="1AF759E2"/>
    <w:rsid w:val="1BD6126C"/>
    <w:rsid w:val="1C3A4D59"/>
    <w:rsid w:val="1E5478C0"/>
    <w:rsid w:val="200A5205"/>
    <w:rsid w:val="20E36EDD"/>
    <w:rsid w:val="21E7264F"/>
    <w:rsid w:val="23B64D16"/>
    <w:rsid w:val="23BE221E"/>
    <w:rsid w:val="24E30D8C"/>
    <w:rsid w:val="2501793B"/>
    <w:rsid w:val="25087144"/>
    <w:rsid w:val="29EC497A"/>
    <w:rsid w:val="2A3530D2"/>
    <w:rsid w:val="2AE1624B"/>
    <w:rsid w:val="2AE3372E"/>
    <w:rsid w:val="2B217D0A"/>
    <w:rsid w:val="2BFF538A"/>
    <w:rsid w:val="2F6418ED"/>
    <w:rsid w:val="31DB5B14"/>
    <w:rsid w:val="34152DC2"/>
    <w:rsid w:val="341E6D68"/>
    <w:rsid w:val="363F4357"/>
    <w:rsid w:val="375D349B"/>
    <w:rsid w:val="37C707A3"/>
    <w:rsid w:val="381406BD"/>
    <w:rsid w:val="38882FCA"/>
    <w:rsid w:val="388C40E8"/>
    <w:rsid w:val="38AB7D8C"/>
    <w:rsid w:val="390C3D84"/>
    <w:rsid w:val="39130050"/>
    <w:rsid w:val="3EC77AA3"/>
    <w:rsid w:val="3F9DE1FC"/>
    <w:rsid w:val="3FAB9287"/>
    <w:rsid w:val="3FFEE01F"/>
    <w:rsid w:val="40673A31"/>
    <w:rsid w:val="41443C70"/>
    <w:rsid w:val="42E04658"/>
    <w:rsid w:val="44CF252C"/>
    <w:rsid w:val="47F60ED7"/>
    <w:rsid w:val="4862267E"/>
    <w:rsid w:val="4AF01A75"/>
    <w:rsid w:val="4B1D40BD"/>
    <w:rsid w:val="4B1D5138"/>
    <w:rsid w:val="4BF05C55"/>
    <w:rsid w:val="4D2D6729"/>
    <w:rsid w:val="4DA05958"/>
    <w:rsid w:val="511D4D5B"/>
    <w:rsid w:val="511F1590"/>
    <w:rsid w:val="51533045"/>
    <w:rsid w:val="515A66AF"/>
    <w:rsid w:val="51FB77F1"/>
    <w:rsid w:val="52701C74"/>
    <w:rsid w:val="5891480F"/>
    <w:rsid w:val="5BAF4A89"/>
    <w:rsid w:val="5C216CEF"/>
    <w:rsid w:val="5C334EFE"/>
    <w:rsid w:val="5E617566"/>
    <w:rsid w:val="5ED165AF"/>
    <w:rsid w:val="5EEF1A0C"/>
    <w:rsid w:val="5F1F3699"/>
    <w:rsid w:val="5F484E2D"/>
    <w:rsid w:val="5FAB1825"/>
    <w:rsid w:val="5FF6A63D"/>
    <w:rsid w:val="603B07CD"/>
    <w:rsid w:val="638156B1"/>
    <w:rsid w:val="64401FFB"/>
    <w:rsid w:val="64711DC6"/>
    <w:rsid w:val="65DA60DB"/>
    <w:rsid w:val="66ED1FE1"/>
    <w:rsid w:val="67B65FF8"/>
    <w:rsid w:val="68E136BE"/>
    <w:rsid w:val="690337E2"/>
    <w:rsid w:val="6C544E08"/>
    <w:rsid w:val="6D336076"/>
    <w:rsid w:val="6D7E2528"/>
    <w:rsid w:val="6FF3D49C"/>
    <w:rsid w:val="70AD1945"/>
    <w:rsid w:val="70B90714"/>
    <w:rsid w:val="70F80C9B"/>
    <w:rsid w:val="70FA6FEE"/>
    <w:rsid w:val="71A74628"/>
    <w:rsid w:val="722217A9"/>
    <w:rsid w:val="72247A70"/>
    <w:rsid w:val="73C2091D"/>
    <w:rsid w:val="74C5727F"/>
    <w:rsid w:val="769D666E"/>
    <w:rsid w:val="76DA649D"/>
    <w:rsid w:val="76E01EB3"/>
    <w:rsid w:val="79025A8E"/>
    <w:rsid w:val="7A631492"/>
    <w:rsid w:val="7C8A566B"/>
    <w:rsid w:val="7C996E3F"/>
    <w:rsid w:val="7F0B6C56"/>
    <w:rsid w:val="7F6C6ACC"/>
    <w:rsid w:val="7FB82C5D"/>
    <w:rsid w:val="B16D91BD"/>
    <w:rsid w:val="BFBD9734"/>
    <w:rsid w:val="BFEF2A05"/>
    <w:rsid w:val="D777838B"/>
    <w:rsid w:val="DF5926B7"/>
    <w:rsid w:val="E967B0B6"/>
    <w:rsid w:val="EF75C11D"/>
    <w:rsid w:val="F7FDDBA8"/>
    <w:rsid w:val="FDF549D0"/>
    <w:rsid w:val="FEE7461D"/>
    <w:rsid w:val="FFA70339"/>
    <w:rsid w:val="FFFBD7A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Calibr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paragraph" w:styleId="3">
    <w:name w:val="heading 1"/>
    <w:basedOn w:val="1"/>
    <w:next w:val="1"/>
    <w:qFormat/>
    <w:uiPriority w:val="0"/>
    <w:pPr>
      <w:keepNext/>
      <w:keepLines/>
      <w:ind w:firstLine="0"/>
      <w:jc w:val="center"/>
      <w:outlineLvl w:val="0"/>
    </w:pPr>
    <w:rPr>
      <w:rFonts w:eastAsia="方正小标宋简体"/>
      <w:b/>
      <w:bCs/>
      <w:kern w:val="44"/>
      <w:sz w:val="44"/>
      <w:szCs w:val="44"/>
    </w:rPr>
  </w:style>
  <w:style w:type="paragraph" w:styleId="2">
    <w:name w:val="heading 2"/>
    <w:basedOn w:val="1"/>
    <w:next w:val="1"/>
    <w:unhideWhenUsed/>
    <w:qFormat/>
    <w:uiPriority w:val="0"/>
    <w:pPr>
      <w:keepNext/>
      <w:keepLines/>
      <w:spacing w:before="260" w:after="260" w:line="416" w:lineRule="auto"/>
      <w:outlineLvl w:val="1"/>
    </w:pPr>
    <w:rPr>
      <w:rFonts w:ascii="Cambria" w:hAnsi="Cambria" w:eastAsia="宋体" w:cs="Times New Roman"/>
      <w:b/>
      <w:bCs/>
      <w:sz w:val="32"/>
      <w:szCs w:val="32"/>
    </w:rPr>
  </w:style>
  <w:style w:type="paragraph" w:styleId="4">
    <w:name w:val="heading 3"/>
    <w:basedOn w:val="1"/>
    <w:next w:val="1"/>
    <w:unhideWhenUsed/>
    <w:qFormat/>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7">
    <w:name w:val="Default Paragraph Font"/>
    <w:link w:val="18"/>
    <w:semiHidden/>
    <w:qFormat/>
    <w:uiPriority w:val="0"/>
  </w:style>
  <w:style w:type="table" w:default="1" w:styleId="16">
    <w:name w:val="Normal Table"/>
    <w:semiHidden/>
    <w:qFormat/>
    <w:uiPriority w:val="0"/>
    <w:tblPr>
      <w:tblCellMar>
        <w:top w:w="0" w:type="dxa"/>
        <w:left w:w="108" w:type="dxa"/>
        <w:bottom w:w="0" w:type="dxa"/>
        <w:right w:w="108" w:type="dxa"/>
      </w:tblCellMar>
    </w:tblPr>
  </w:style>
  <w:style w:type="paragraph" w:styleId="5">
    <w:name w:val="Normal Indent"/>
    <w:basedOn w:val="1"/>
    <w:next w:val="1"/>
    <w:qFormat/>
    <w:uiPriority w:val="0"/>
    <w:pPr>
      <w:ind w:firstLine="420" w:firstLineChars="200"/>
    </w:pPr>
    <w:rPr>
      <w:rFonts w:ascii="Calibri" w:hAnsi="Calibri" w:eastAsia="宋体"/>
    </w:rPr>
  </w:style>
  <w:style w:type="paragraph" w:styleId="6">
    <w:name w:val="Body Text"/>
    <w:basedOn w:val="1"/>
    <w:qFormat/>
    <w:uiPriority w:val="0"/>
    <w:rPr>
      <w:rFonts w:eastAsia="宋体"/>
      <w:sz w:val="44"/>
      <w:szCs w:val="24"/>
    </w:rPr>
  </w:style>
  <w:style w:type="paragraph" w:styleId="7">
    <w:name w:val="Body Text Indent"/>
    <w:basedOn w:val="1"/>
    <w:next w:val="1"/>
    <w:qFormat/>
    <w:uiPriority w:val="0"/>
    <w:pPr>
      <w:widowControl w:val="0"/>
      <w:ind w:firstLine="640" w:firstLineChars="200"/>
      <w:jc w:val="both"/>
    </w:pPr>
    <w:rPr>
      <w:rFonts w:ascii="黑体" w:hAnsi="Times New Roman" w:eastAsia="黑体" w:cs="Times New Roman"/>
      <w:kern w:val="2"/>
      <w:sz w:val="32"/>
      <w:szCs w:val="30"/>
      <w:lang w:val="en-US" w:eastAsia="zh-CN" w:bidi="ar-SA"/>
    </w:rPr>
  </w:style>
  <w:style w:type="paragraph" w:styleId="8">
    <w:name w:val="footer"/>
    <w:basedOn w:val="1"/>
    <w:qFormat/>
    <w:uiPriority w:val="0"/>
    <w:pPr>
      <w:tabs>
        <w:tab w:val="center" w:pos="4153"/>
        <w:tab w:val="right" w:pos="8306"/>
      </w:tabs>
      <w:snapToGrid w:val="0"/>
      <w:jc w:val="left"/>
    </w:pPr>
    <w:rPr>
      <w:sz w:val="18"/>
    </w:rPr>
  </w:style>
  <w:style w:type="paragraph" w:styleId="9">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0">
    <w:name w:val="toc 1"/>
    <w:basedOn w:val="1"/>
    <w:next w:val="1"/>
    <w:qFormat/>
    <w:uiPriority w:val="0"/>
    <w:pPr>
      <w:keepNext w:val="0"/>
      <w:keepLines w:val="0"/>
      <w:widowControl w:val="0"/>
      <w:suppressLineNumbers w:val="0"/>
      <w:spacing w:before="0" w:beforeAutospacing="0" w:after="0" w:afterAutospacing="0"/>
      <w:ind w:left="0" w:right="0"/>
      <w:jc w:val="both"/>
    </w:pPr>
    <w:rPr>
      <w:rFonts w:hint="default" w:ascii="Calibri" w:hAnsi="Calibri" w:eastAsia="仿宋_GB2312" w:cs="Times New Roman"/>
      <w:kern w:val="2"/>
      <w:sz w:val="32"/>
      <w:szCs w:val="20"/>
      <w:lang w:val="en-US" w:eastAsia="zh-CN" w:bidi="ar"/>
    </w:rPr>
  </w:style>
  <w:style w:type="paragraph" w:styleId="11">
    <w:name w:val="toc 2"/>
    <w:basedOn w:val="1"/>
    <w:next w:val="1"/>
    <w:qFormat/>
    <w:uiPriority w:val="0"/>
    <w:pPr>
      <w:keepNext w:val="0"/>
      <w:keepLines w:val="0"/>
      <w:widowControl w:val="0"/>
      <w:suppressLineNumbers w:val="0"/>
      <w:spacing w:before="100" w:beforeAutospacing="1" w:after="100" w:afterAutospacing="1"/>
      <w:ind w:left="200" w:leftChars="200"/>
      <w:jc w:val="both"/>
    </w:pPr>
    <w:rPr>
      <w:rFonts w:hint="default" w:ascii="Times New Roman" w:hAnsi="Times New Roman" w:eastAsia="宋体" w:cs="Times New Roman"/>
      <w:kern w:val="2"/>
      <w:sz w:val="32"/>
      <w:szCs w:val="32"/>
      <w:lang w:val="en-US" w:eastAsia="zh-CN" w:bidi="ar"/>
    </w:rPr>
  </w:style>
  <w:style w:type="paragraph" w:styleId="12">
    <w:name w:val="Normal (Web)"/>
    <w:basedOn w:val="1"/>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styleId="13">
    <w:name w:val="Title"/>
    <w:basedOn w:val="1"/>
    <w:next w:val="1"/>
    <w:qFormat/>
    <w:uiPriority w:val="0"/>
    <w:pPr>
      <w:spacing w:before="240" w:after="60"/>
      <w:jc w:val="center"/>
      <w:outlineLvl w:val="0"/>
    </w:pPr>
    <w:rPr>
      <w:rFonts w:ascii="Calibri Light" w:hAnsi="Calibri Light" w:eastAsia="宋体" w:cs="Times New Roman"/>
      <w:b/>
      <w:bCs/>
      <w:szCs w:val="32"/>
    </w:rPr>
  </w:style>
  <w:style w:type="paragraph" w:styleId="14">
    <w:name w:val="Body Text First Indent"/>
    <w:basedOn w:val="6"/>
    <w:qFormat/>
    <w:uiPriority w:val="0"/>
    <w:pPr>
      <w:ind w:firstLine="420" w:firstLineChars="100"/>
    </w:pPr>
  </w:style>
  <w:style w:type="paragraph" w:styleId="15">
    <w:name w:val="Body Text First Indent 2"/>
    <w:basedOn w:val="7"/>
    <w:qFormat/>
    <w:uiPriority w:val="0"/>
    <w:pPr>
      <w:ind w:firstLine="420" w:firstLineChars="200"/>
    </w:pPr>
  </w:style>
  <w:style w:type="paragraph" w:customStyle="1" w:styleId="18">
    <w:name w:val=" Char"/>
    <w:basedOn w:val="1"/>
    <w:link w:val="17"/>
    <w:qFormat/>
    <w:uiPriority w:val="0"/>
  </w:style>
  <w:style w:type="character" w:styleId="19">
    <w:name w:val="Strong"/>
    <w:basedOn w:val="17"/>
    <w:qFormat/>
    <w:uiPriority w:val="0"/>
    <w:rPr>
      <w:b/>
      <w:bCs/>
    </w:rPr>
  </w:style>
  <w:style w:type="character" w:styleId="20">
    <w:name w:val="page number"/>
    <w:basedOn w:val="17"/>
    <w:qFormat/>
    <w:uiPriority w:val="0"/>
  </w:style>
  <w:style w:type="character" w:styleId="21">
    <w:name w:val="Hyperlink"/>
    <w:basedOn w:val="17"/>
    <w:qFormat/>
    <w:uiPriority w:val="0"/>
    <w:rPr>
      <w:color w:val="0000FF"/>
      <w:u w:val="single"/>
    </w:rPr>
  </w:style>
  <w:style w:type="paragraph" w:customStyle="1" w:styleId="22">
    <w:name w:val=" Char Char Char Char Char Char Char Char Char1 Char Char Char Char"/>
    <w:basedOn w:val="23"/>
    <w:link w:val="17"/>
    <w:qFormat/>
    <w:uiPriority w:val="0"/>
  </w:style>
  <w:style w:type="paragraph" w:customStyle="1" w:styleId="23">
    <w:name w:val="正文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4">
    <w:name w:val="正文 New New New New New New New New New New New New New New New New New New"/>
    <w:basedOn w:val="1"/>
    <w:qFormat/>
    <w:uiPriority w:val="0"/>
    <w:pPr>
      <w:keepNext w:val="0"/>
      <w:keepLines w:val="0"/>
      <w:widowControl w:val="0"/>
      <w:suppressLineNumbers w:val="0"/>
      <w:spacing w:before="0" w:beforeAutospacing="0" w:after="0" w:afterAutospacing="0"/>
      <w:ind w:left="0" w:right="0"/>
      <w:jc w:val="both"/>
    </w:pPr>
    <w:rPr>
      <w:rFonts w:hint="default" w:ascii="Times New Roman" w:hAnsi="Times New Roman" w:eastAsia="宋体" w:cs="Times New Roman"/>
      <w:kern w:val="2"/>
      <w:sz w:val="21"/>
      <w:szCs w:val="20"/>
      <w:lang w:val="en-US" w:eastAsia="zh-CN" w:bidi="ar"/>
    </w:rPr>
  </w:style>
  <w:style w:type="paragraph" w:customStyle="1" w:styleId="25">
    <w:name w:val="正文 New New New New New"/>
    <w:qFormat/>
    <w:uiPriority w:val="0"/>
    <w:pPr>
      <w:widowControl w:val="0"/>
      <w:jc w:val="both"/>
    </w:pPr>
    <w:rPr>
      <w:rFonts w:ascii="Times New Roman" w:hAnsi="Times New Roman" w:eastAsia="仿宋_GB2312" w:cs="Times New Roman"/>
      <w:kern w:val="2"/>
      <w:sz w:val="32"/>
      <w:lang w:val="en-US" w:eastAsia="zh-CN"/>
    </w:rPr>
  </w:style>
  <w:style w:type="paragraph" w:customStyle="1" w:styleId="26">
    <w:name w:val="正文 New New New New New New New"/>
    <w:basedOn w:val="1"/>
    <w:qFormat/>
    <w:uiPriority w:val="0"/>
    <w:pPr>
      <w:keepNext w:val="0"/>
      <w:keepLines w:val="0"/>
      <w:widowControl w:val="0"/>
      <w:suppressLineNumbers w:val="0"/>
      <w:spacing w:before="0" w:beforeAutospacing="0" w:after="0" w:afterAutospacing="0"/>
      <w:ind w:left="0" w:right="0"/>
      <w:jc w:val="both"/>
    </w:pPr>
    <w:rPr>
      <w:rFonts w:hint="eastAsia" w:ascii="仿宋_GB2312" w:hAnsi="Tahoma" w:eastAsia="仿宋_GB2312" w:cs="Times New Roman"/>
      <w:kern w:val="2"/>
      <w:sz w:val="21"/>
      <w:szCs w:val="22"/>
      <w:lang w:val="en-US" w:eastAsia="zh-CN" w:bidi="ar"/>
    </w:rPr>
  </w:style>
  <w:style w:type="paragraph" w:customStyle="1" w:styleId="27">
    <w:name w:val="p0"/>
    <w:basedOn w:val="1"/>
    <w:qFormat/>
    <w:uiPriority w:val="0"/>
    <w:pPr>
      <w:widowControl/>
    </w:pPr>
    <w:rPr>
      <w:rFonts w:hint="eastAsia" w:ascii="宋体" w:hAnsi="宋体"/>
      <w:sz w:val="32"/>
    </w:rPr>
  </w:style>
  <w:style w:type="paragraph" w:customStyle="1" w:styleId="28">
    <w:name w:val="正文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p1"/>
    <w:basedOn w:val="1"/>
    <w:qFormat/>
    <w:uiPriority w:val="99"/>
    <w:pPr>
      <w:widowControl/>
      <w:jc w:val="center"/>
    </w:pPr>
    <w:rPr>
      <w:rFonts w:ascii=".PingFang SC" w:hAnsi=".PingFang SC" w:eastAsia=".PingFang SC"/>
      <w:color w:val="454545"/>
      <w:kern w:val="0"/>
      <w:sz w:val="18"/>
      <w:szCs w:val="18"/>
    </w:rPr>
  </w:style>
  <w:style w:type="paragraph" w:customStyle="1" w:styleId="30">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31">
    <w:name w:val="正文 A"/>
    <w:qFormat/>
    <w:uiPriority w:val="0"/>
    <w:pPr>
      <w:framePr w:wrap="around" w:vAnchor="margin" w:hAnchor="text" w:yAlign="top"/>
      <w:widowControl w:val="0"/>
      <w:jc w:val="both"/>
    </w:pPr>
    <w:rPr>
      <w:rFonts w:hint="eastAsia" w:ascii="Arial Unicode MS" w:hAnsi="Arial Unicode MS" w:eastAsia="Arial Unicode MS" w:cs="Arial Unicode MS"/>
      <w:color w:val="000000"/>
      <w:kern w:val="2"/>
      <w:sz w:val="21"/>
      <w:szCs w:val="21"/>
      <w:u w:val="none" w:color="000000"/>
      <w:lang w:val="en-US" w:eastAsia="zh-CN" w:bidi="ar-SA"/>
    </w:rPr>
  </w:style>
  <w:style w:type="paragraph" w:customStyle="1" w:styleId="32">
    <w:name w:val="正文 New New New New New New New New New New New New New New New New New New New New"/>
    <w:qFormat/>
    <w:uiPriority w:val="0"/>
    <w:pPr>
      <w:widowControl w:val="0"/>
      <w:jc w:val="both"/>
    </w:pPr>
    <w:rPr>
      <w:rFonts w:ascii="仿宋_GB2312" w:hAnsi="Tahoma" w:eastAsia="仿宋_GB2312" w:cs="Times New Roman"/>
      <w:kern w:val="2"/>
      <w:sz w:val="32"/>
      <w:lang w:val="en-US" w:eastAsia="zh-CN" w:bidi="ar-SA"/>
    </w:rPr>
  </w:style>
  <w:style w:type="paragraph" w:customStyle="1" w:styleId="33">
    <w:name w:val="正文 New New"/>
    <w:qFormat/>
    <w:uiPriority w:val="0"/>
    <w:pPr>
      <w:widowControl w:val="0"/>
      <w:jc w:val="both"/>
    </w:pPr>
    <w:rPr>
      <w:rFonts w:ascii="Times New Roman" w:hAnsi="Times New Roman" w:eastAsia="宋体" w:cs="Times New Roman"/>
      <w:kern w:val="2"/>
      <w:sz w:val="21"/>
      <w:lang w:val="en-US" w:eastAsia="zh-CN" w:bidi="ar-SA"/>
    </w:rPr>
  </w:style>
  <w:style w:type="character" w:customStyle="1" w:styleId="34">
    <w:name w:val="15"/>
    <w:qFormat/>
    <w:uiPriority w:val="0"/>
    <w:rPr>
      <w:rFonts w:hint="default" w:ascii="Times New Roman" w:hAnsi="Times New Roman" w:cs="Times New Roman"/>
      <w:b/>
      <w:bCs/>
      <w:sz w:val="20"/>
      <w:szCs w:val="20"/>
    </w:rPr>
  </w:style>
  <w:style w:type="character" w:customStyle="1" w:styleId="35">
    <w:name w:val="form-textarea-print1"/>
    <w:basedOn w:val="17"/>
    <w:qFormat/>
    <w:uiPriority w:val="0"/>
    <w:rPr>
      <w:sz w:val="14"/>
      <w:szCs w:val="14"/>
    </w:rPr>
  </w:style>
  <w:style w:type="paragraph" w:customStyle="1" w:styleId="36">
    <w:name w:val="Default"/>
    <w:qFormat/>
    <w:uiPriority w:val="0"/>
    <w:pPr>
      <w:widowControl w:val="0"/>
      <w:autoSpaceDE w:val="0"/>
      <w:autoSpaceDN w:val="0"/>
      <w:adjustRightInd w:val="0"/>
      <w:spacing w:after="160" w:line="259" w:lineRule="auto"/>
    </w:pPr>
    <w:rPr>
      <w:rFonts w:hint="eastAsia" w:ascii="方正仿宋_GBK" w:hAnsi="方正仿宋_GBK" w:eastAsia="方正仿宋_GBK" w:cs="Times New Roman"/>
      <w:color w:val="000000"/>
      <w:sz w:val="24"/>
      <w:szCs w:val="22"/>
      <w:lang w:val="en-US" w:eastAsia="zh-CN" w:bidi="ar-SA"/>
    </w:rPr>
  </w:style>
  <w:style w:type="paragraph" w:customStyle="1" w:styleId="37">
    <w:name w:val="p15"/>
    <w:basedOn w:val="38"/>
    <w:qFormat/>
    <w:uiPriority w:val="3"/>
    <w:pPr>
      <w:widowControl/>
      <w:ind w:firstLine="420"/>
    </w:pPr>
    <w:rPr>
      <w:rFonts w:ascii="仿宋_GB2312" w:hAnsi="仿宋_GB2312" w:eastAsia="仿宋_GB2312" w:cs="仿宋_GB2312"/>
      <w:kern w:val="0"/>
      <w:sz w:val="32"/>
      <w:szCs w:val="32"/>
    </w:rPr>
  </w:style>
  <w:style w:type="paragraph" w:customStyle="1" w:styleId="38">
    <w:name w:val="正文 New New New New New New New New New New New New New New New New New New New New New New New New New New New New New New New New"/>
    <w:qFormat/>
    <w:uiPriority w:val="2"/>
    <w:pPr>
      <w:widowControl w:val="0"/>
      <w:jc w:val="both"/>
    </w:pPr>
    <w:rPr>
      <w:rFonts w:ascii="Calibri" w:hAnsi="Calibri" w:eastAsia="宋体" w:cs="Times New Roman"/>
      <w:color w:val="000000"/>
      <w:kern w:val="1"/>
      <w:sz w:val="21"/>
      <w:szCs w:val="22"/>
      <w:lang w:val="en-US" w:eastAsia="zh-CN" w:bidi="ar-SA"/>
    </w:rPr>
  </w:style>
  <w:style w:type="character" w:customStyle="1" w:styleId="39">
    <w:name w:val="bjh-p"/>
    <w:unhideWhenUsed/>
    <w:qFormat/>
    <w:uiPriority w:val="0"/>
    <w:rPr>
      <w:rFonts w:hint="default"/>
      <w:sz w:val="24"/>
    </w:rPr>
  </w:style>
  <w:style w:type="paragraph" w:customStyle="1" w:styleId="40">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1">
    <w:name w:val="p17"/>
    <w:basedOn w:val="1"/>
    <w:qFormat/>
    <w:uiPriority w:val="0"/>
    <w:pPr>
      <w:widowControl/>
      <w:ind w:firstLine="420"/>
    </w:pPr>
    <w:rPr>
      <w:rFonts w:ascii="仿宋_GB2312" w:hAnsi="宋体" w:eastAsia="仿宋_GB2312" w:cs="宋体"/>
      <w:kern w:val="0"/>
      <w:sz w:val="32"/>
      <w:szCs w:val="32"/>
    </w:rPr>
  </w:style>
  <w:style w:type="paragraph" w:customStyle="1" w:styleId="42">
    <w:name w:val="Normal Indent1"/>
    <w:basedOn w:val="1"/>
    <w:qFormat/>
    <w:uiPriority w:val="0"/>
    <w:pPr>
      <w:adjustRightInd w:val="0"/>
      <w:spacing w:line="360" w:lineRule="auto"/>
      <w:ind w:firstLine="420"/>
      <w:textAlignment w:val="baseline"/>
    </w:pPr>
    <w:rPr>
      <w:rFonts w:ascii="Calibri" w:hAnsi="Calibri" w:eastAsia="宋体" w:cs="Times New Roman"/>
      <w:kern w:val="0"/>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2</TotalTime>
  <ScaleCrop>false</ScaleCrop>
  <LinksUpToDate>false</LinksUpToDate>
  <CharactersWithSpaces>0</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2019-04-14T23:40:00Z</dcterms:created>
  <dc:creator>谢浩然</dc:creator>
  <cp:lastModifiedBy>gdrd</cp:lastModifiedBy>
  <cp:lastPrinted>2020-12-14T18:27:00Z</cp:lastPrinted>
  <dcterms:modified xsi:type="dcterms:W3CDTF">2022-02-09T10:45:31Z</dcterms:modified>
  <dc:title>广东省人大常委会文件</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