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3"/>
        <w:keepNext w:val="0"/>
        <w:keepLines w:val="0"/>
        <w:pageBreakBefore w:val="0"/>
        <w:widowControl w:val="0"/>
        <w:kinsoku/>
        <w:wordWrap/>
        <w:overflowPunct/>
        <w:topLinePunct w:val="0"/>
        <w:autoSpaceDE/>
        <w:autoSpaceDN/>
        <w:bidi w:val="0"/>
        <w:adjustRightInd w:val="0"/>
        <w:spacing w:beforeLines="0" w:afterLines="0" w:line="590" w:lineRule="exact"/>
        <w:ind w:firstLine="6976" w:firstLineChars="1600"/>
        <w:jc w:val="both"/>
        <w:textAlignment w:val="auto"/>
        <w:outlineLvl w:val="9"/>
        <w:rPr>
          <w:rFonts w:hint="eastAsia" w:ascii="宋体" w:hAnsi="宋体" w:eastAsia="方正小标宋简体" w:cs="方正小标宋简体"/>
          <w:color w:val="000000"/>
          <w:spacing w:val="0"/>
          <w:kern w:val="0"/>
          <w:sz w:val="44"/>
          <w:szCs w:val="41"/>
        </w:rPr>
      </w:pPr>
    </w:p>
    <w:p>
      <w:pPr>
        <w:pStyle w:val="13"/>
        <w:keepNext w:val="0"/>
        <w:keepLines w:val="0"/>
        <w:pageBreakBefore w:val="0"/>
        <w:kinsoku/>
        <w:wordWrap/>
        <w:overflowPunct/>
        <w:topLinePunct w:val="0"/>
        <w:autoSpaceDE/>
        <w:autoSpaceDN/>
        <w:bidi w:val="0"/>
        <w:snapToGrid/>
        <w:spacing w:beforeLines="0" w:afterLines="0" w:line="590" w:lineRule="exact"/>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spacing w:val="-28"/>
          <w:sz w:val="44"/>
          <w:szCs w:val="44"/>
          <w:lang w:eastAsia="zh-CN"/>
        </w:rPr>
        <w:t>广东省人民代表大会常务委员会关于省人民</w:t>
      </w:r>
      <w:r>
        <w:rPr>
          <w:rFonts w:hint="eastAsia" w:ascii="宋体" w:hAnsi="宋体" w:eastAsia="宋体" w:cs="宋体"/>
          <w:b w:val="0"/>
          <w:bCs w:val="0"/>
          <w:spacing w:val="-28"/>
          <w:sz w:val="44"/>
          <w:szCs w:val="44"/>
        </w:rPr>
        <w:t>政府</w:t>
      </w:r>
    </w:p>
    <w:p>
      <w:pPr>
        <w:keepNext w:val="0"/>
        <w:keepLines w:val="0"/>
        <w:pageBreakBefore w:val="0"/>
        <w:kinsoku/>
        <w:wordWrap/>
        <w:overflowPunct/>
        <w:topLinePunct w:val="0"/>
        <w:autoSpaceDE/>
        <w:autoSpaceDN/>
        <w:bidi w:val="0"/>
        <w:snapToGrid/>
        <w:spacing w:beforeLines="0" w:afterLines="0" w:line="59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机构改革涉及省</w:t>
      </w:r>
      <w:r>
        <w:rPr>
          <w:rFonts w:hint="eastAsia" w:ascii="宋体" w:hAnsi="宋体" w:eastAsia="宋体" w:cs="宋体"/>
          <w:b w:val="0"/>
          <w:bCs w:val="0"/>
          <w:sz w:val="44"/>
          <w:szCs w:val="44"/>
          <w:lang w:eastAsia="zh-CN"/>
        </w:rPr>
        <w:t>的</w:t>
      </w:r>
      <w:r>
        <w:rPr>
          <w:rFonts w:hint="eastAsia" w:ascii="宋体" w:hAnsi="宋体" w:eastAsia="宋体" w:cs="宋体"/>
          <w:b w:val="0"/>
          <w:bCs w:val="0"/>
          <w:sz w:val="44"/>
          <w:szCs w:val="44"/>
        </w:rPr>
        <w:t>地方性法规规定的</w:t>
      </w:r>
    </w:p>
    <w:p>
      <w:pPr>
        <w:keepNext w:val="0"/>
        <w:keepLines w:val="0"/>
        <w:pageBreakBefore w:val="0"/>
        <w:kinsoku/>
        <w:wordWrap/>
        <w:overflowPunct/>
        <w:topLinePunct w:val="0"/>
        <w:autoSpaceDE/>
        <w:autoSpaceDN/>
        <w:bidi w:val="0"/>
        <w:snapToGrid/>
        <w:spacing w:beforeLines="0" w:afterLines="0" w:line="59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行政机关职责调整问题的决定</w:t>
      </w:r>
    </w:p>
    <w:p>
      <w:pPr>
        <w:keepNext w:val="0"/>
        <w:keepLines w:val="0"/>
        <w:pageBreakBefore w:val="0"/>
        <w:widowControl/>
        <w:kinsoku/>
        <w:wordWrap/>
        <w:overflowPunct/>
        <w:topLinePunct w:val="0"/>
        <w:autoSpaceDE/>
        <w:autoSpaceDN/>
        <w:bidi w:val="0"/>
        <w:adjustRightInd w:val="0"/>
        <w:snapToGrid/>
        <w:spacing w:beforeLines="0" w:afterLines="0" w:line="590" w:lineRule="exact"/>
        <w:ind w:left="632" w:leftChars="200" w:right="632" w:rightChars="200" w:firstLine="0" w:firstLineChars="0"/>
        <w:jc w:val="center"/>
        <w:textAlignment w:val="auto"/>
        <w:outlineLvl w:val="9"/>
        <w:rPr>
          <w:rFonts w:hint="eastAsia" w:ascii="宋体" w:hAnsi="宋体" w:eastAsia="楷体_GB2312"/>
          <w:color w:val="auto"/>
          <w:spacing w:val="-6"/>
          <w:sz w:val="32"/>
          <w:lang w:val="en-US" w:eastAsia="zh-CN"/>
        </w:rPr>
      </w:pPr>
      <w:r>
        <w:rPr>
          <w:rFonts w:hint="eastAsia" w:ascii="宋体" w:hAnsi="宋体" w:eastAsia="楷体_GB2312"/>
          <w:color w:val="auto"/>
          <w:spacing w:val="-6"/>
          <w:sz w:val="32"/>
          <w:lang w:eastAsia="zh-CN"/>
        </w:rPr>
        <w:t>（</w:t>
      </w:r>
      <w:r>
        <w:rPr>
          <w:rFonts w:hint="default" w:ascii="宋体" w:hAnsi="宋体" w:eastAsia="楷体_GB2312" w:cs="Times New Roman"/>
          <w:color w:val="auto"/>
          <w:spacing w:val="-6"/>
          <w:sz w:val="32"/>
          <w:lang w:val="en-US" w:eastAsia="zh-CN"/>
        </w:rPr>
        <w:t>201</w:t>
      </w:r>
      <w:r>
        <w:rPr>
          <w:rFonts w:hint="eastAsia" w:ascii="宋体" w:hAnsi="宋体" w:eastAsia="楷体_GB2312" w:cs="Times New Roman"/>
          <w:color w:val="auto"/>
          <w:spacing w:val="-6"/>
          <w:sz w:val="32"/>
          <w:lang w:val="en-US" w:eastAsia="zh-CN"/>
        </w:rPr>
        <w:t>9</w:t>
      </w:r>
      <w:r>
        <w:rPr>
          <w:rFonts w:hint="eastAsia" w:ascii="宋体" w:hAnsi="宋体" w:eastAsia="楷体_GB2312"/>
          <w:color w:val="auto"/>
          <w:spacing w:val="-6"/>
          <w:sz w:val="32"/>
          <w:lang w:val="en-US" w:eastAsia="zh-CN"/>
        </w:rPr>
        <w:t>年</w:t>
      </w:r>
      <w:r>
        <w:rPr>
          <w:rFonts w:hint="eastAsia" w:ascii="宋体" w:hAnsi="宋体" w:eastAsia="楷体_GB2312" w:cs="Times New Roman"/>
          <w:color w:val="auto"/>
          <w:spacing w:val="-6"/>
          <w:sz w:val="32"/>
          <w:lang w:val="en-US" w:eastAsia="zh-CN"/>
        </w:rPr>
        <w:t>1</w:t>
      </w:r>
      <w:r>
        <w:rPr>
          <w:rFonts w:hint="eastAsia" w:ascii="宋体" w:hAnsi="宋体" w:eastAsia="楷体_GB2312"/>
          <w:color w:val="auto"/>
          <w:spacing w:val="-6"/>
          <w:sz w:val="32"/>
          <w:lang w:val="en-US" w:eastAsia="zh-CN"/>
        </w:rPr>
        <w:t>月</w:t>
      </w:r>
      <w:r>
        <w:rPr>
          <w:rFonts w:hint="eastAsia" w:ascii="宋体" w:hAnsi="宋体" w:eastAsia="楷体_GB2312" w:cs="Times New Roman"/>
          <w:color w:val="auto"/>
          <w:spacing w:val="-6"/>
          <w:sz w:val="32"/>
          <w:lang w:val="en-US" w:eastAsia="zh-CN"/>
        </w:rPr>
        <w:t>16</w:t>
      </w:r>
      <w:r>
        <w:rPr>
          <w:rFonts w:hint="eastAsia" w:ascii="宋体" w:hAnsi="宋体" w:eastAsia="楷体_GB2312"/>
          <w:color w:val="auto"/>
          <w:spacing w:val="-6"/>
          <w:sz w:val="32"/>
          <w:lang w:val="en-US" w:eastAsia="zh-CN"/>
        </w:rPr>
        <w:t>日广东省第十三届人民代表大会</w:t>
      </w:r>
    </w:p>
    <w:p>
      <w:pPr>
        <w:keepNext w:val="0"/>
        <w:keepLines w:val="0"/>
        <w:pageBreakBefore w:val="0"/>
        <w:widowControl/>
        <w:kinsoku/>
        <w:wordWrap/>
        <w:overflowPunct/>
        <w:topLinePunct w:val="0"/>
        <w:autoSpaceDE/>
        <w:autoSpaceDN/>
        <w:bidi w:val="0"/>
        <w:adjustRightInd w:val="0"/>
        <w:snapToGrid/>
        <w:spacing w:beforeLines="0" w:afterLines="0" w:line="590" w:lineRule="exact"/>
        <w:ind w:left="632" w:leftChars="200" w:right="632" w:rightChars="200" w:firstLine="0" w:firstLineChars="0"/>
        <w:jc w:val="center"/>
        <w:textAlignment w:val="auto"/>
        <w:outlineLvl w:val="9"/>
        <w:rPr>
          <w:rFonts w:hint="eastAsia" w:ascii="宋体" w:hAnsi="宋体" w:eastAsia="楷体_GB2312"/>
          <w:color w:val="auto"/>
          <w:sz w:val="32"/>
          <w:lang w:val="en-US" w:eastAsia="zh-CN"/>
        </w:rPr>
      </w:pPr>
      <w:r>
        <w:rPr>
          <w:rFonts w:hint="eastAsia" w:ascii="宋体" w:hAnsi="宋体" w:eastAsia="楷体_GB2312"/>
          <w:color w:val="auto"/>
          <w:spacing w:val="-6"/>
          <w:sz w:val="32"/>
          <w:lang w:val="en-US" w:eastAsia="zh-CN"/>
        </w:rPr>
        <w:t>常务委员会</w:t>
      </w:r>
      <w:r>
        <w:rPr>
          <w:rFonts w:hint="eastAsia" w:ascii="宋体" w:hAnsi="宋体" w:eastAsia="楷体_GB2312"/>
          <w:color w:val="auto"/>
          <w:sz w:val="32"/>
          <w:lang w:val="en-US" w:eastAsia="zh-CN"/>
        </w:rPr>
        <w:t>第九次会议通过）</w:t>
      </w:r>
    </w:p>
    <w:p>
      <w:pPr>
        <w:pStyle w:val="2"/>
        <w:keepNext w:val="0"/>
        <w:keepLines w:val="0"/>
        <w:pageBreakBefore w:val="0"/>
        <w:kinsoku/>
        <w:wordWrap/>
        <w:overflowPunct/>
        <w:topLinePunct w:val="0"/>
        <w:autoSpaceDE/>
        <w:autoSpaceDN/>
        <w:bidi w:val="0"/>
        <w:snapToGrid/>
        <w:spacing w:beforeLines="0" w:afterLines="0" w:line="590" w:lineRule="exact"/>
        <w:textAlignment w:val="auto"/>
        <w:rPr>
          <w:rFonts w:hint="default" w:ascii="宋体" w:hAnsi="宋体"/>
        </w:rPr>
      </w:pP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为</w:t>
      </w:r>
      <w:r>
        <w:rPr>
          <w:rFonts w:hint="default" w:ascii="宋体" w:hAnsi="宋体" w:eastAsia="仿宋_GB2312" w:cs="仿宋_GB2312"/>
          <w:szCs w:val="22"/>
          <w:lang w:eastAsia="zh-CN"/>
        </w:rPr>
        <w:t>了</w:t>
      </w:r>
      <w:r>
        <w:rPr>
          <w:rFonts w:hint="default" w:ascii="宋体" w:hAnsi="宋体" w:eastAsia="仿宋_GB2312" w:cs="仿宋_GB2312"/>
          <w:szCs w:val="22"/>
        </w:rPr>
        <w:t>深入贯彻习近平新时代中国特色社会主义思想</w:t>
      </w:r>
      <w:r>
        <w:rPr>
          <w:rFonts w:hint="default" w:ascii="宋体" w:hAnsi="宋体" w:eastAsia="仿宋_GB2312" w:cs="仿宋_GB2312"/>
          <w:szCs w:val="22"/>
          <w:lang w:eastAsia="zh-CN"/>
        </w:rPr>
        <w:t>，</w:t>
      </w:r>
      <w:r>
        <w:rPr>
          <w:rFonts w:hint="default" w:ascii="宋体" w:hAnsi="宋体" w:eastAsia="仿宋_GB2312" w:cs="仿宋_GB2312"/>
          <w:szCs w:val="22"/>
        </w:rPr>
        <w:t>全面贯彻党的十九大和十九届二中、三中全会精神，</w:t>
      </w:r>
      <w:r>
        <w:rPr>
          <w:rFonts w:hint="default" w:ascii="宋体" w:hAnsi="宋体" w:eastAsia="仿宋_GB2312" w:cs="仿宋_GB2312"/>
          <w:szCs w:val="22"/>
          <w:lang w:eastAsia="zh-CN"/>
        </w:rPr>
        <w:t>全面贯彻落实习近平总书记对广东重要讲话和重要指示批示精神，</w:t>
      </w:r>
      <w:r>
        <w:rPr>
          <w:rFonts w:hint="default" w:ascii="宋体" w:hAnsi="宋体" w:eastAsia="仿宋_GB2312" w:cs="仿宋_GB2312"/>
          <w:szCs w:val="22"/>
        </w:rPr>
        <w:t>根据中共中央、国务院批准的《广东省机构改革方案》，按照《全国人民代表大会常务委员会关于国务院机构改革涉及法律规定的行政机关职责调整问题的决定》确定的原则，平稳有序调整省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地方性法规规定的行政机关职责和工作，确保行政机关依法履行职责、开展工作，推进机构设置和职能配置优化协同高效，现就省人民政府机构改革涉及省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地方性法规规定的行政机关职责调整问题作出如下决定：</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一、现行省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地方性法规规定的行政机关职责和工作，《广东省机构改革方案》确定由组建后的行政机关或者划入职责的行政机关承担的，在有关省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地方性法规规定尚未修改或者废止之前，调整适用有关省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地方性法规规定，由组建后的行政机关或者划入职责的行政机关承担；相关职责尚未调整到位之前，由原承担该职责和工作的行政机关继续承担。</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省以下各级行政机关承担省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地方性法规规定的职责和工作需要进行调整的，按照上述原则执行。</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二、省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规定上级行政机关对下级行政机关负有管理监督指导等职责的，上级行政机关职责已调整到位、下级行政机关职责尚未调整到位的，由《广东省机构改革方案》确定承担该职责的上级行政机关履行管理监督指导等职责。</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三、实施《广东省机构改革方案》需要制定、修改省</w:t>
      </w:r>
      <w:r>
        <w:rPr>
          <w:rFonts w:hint="eastAsia" w:ascii="宋体" w:hAnsi="宋体" w:eastAsia="仿宋_GB2312" w:cs="仿宋_GB2312"/>
          <w:szCs w:val="22"/>
          <w:lang w:eastAsia="zh-CN"/>
        </w:rPr>
        <w:t>的</w:t>
      </w:r>
      <w:r>
        <w:rPr>
          <w:rFonts w:hint="default" w:ascii="宋体" w:hAnsi="宋体" w:eastAsia="仿宋_GB2312" w:cs="仿宋_GB2312"/>
          <w:szCs w:val="22"/>
        </w:rPr>
        <w:t>地方性法规，或者需要由省人民代表大会常务委员会作出相关决定的，省人民政府应当及时提出议案，依照法定程序提请审议。</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四、</w:t>
      </w:r>
      <w:r>
        <w:rPr>
          <w:rFonts w:hint="eastAsia" w:ascii="宋体" w:hAnsi="宋体" w:eastAsia="仿宋_GB2312" w:cs="仿宋_GB2312"/>
          <w:szCs w:val="22"/>
          <w:lang w:val="en-US" w:eastAsia="zh-CN"/>
        </w:rPr>
        <w:t>省人民代表大会及其常务委员会的决定、决议规定涉及行政机关职责和工作，需要进行调整的，参照本决定第一条、第二条规定予以调整。</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五、各级人民政府及其有关部门应当精心组织，周密部署，确保行政机关履行法定职责、开展工作的连续性、稳定性、有效性，特别是做好涉及民生、应急、安全生产等重点领域工作。</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default" w:ascii="宋体" w:hAnsi="宋体" w:eastAsia="仿宋_GB2312" w:cs="仿宋_GB2312"/>
          <w:szCs w:val="22"/>
        </w:rPr>
      </w:pPr>
      <w:r>
        <w:rPr>
          <w:rFonts w:hint="default" w:ascii="宋体" w:hAnsi="宋体" w:eastAsia="仿宋_GB2312" w:cs="仿宋_GB2312"/>
          <w:szCs w:val="22"/>
        </w:rPr>
        <w:t>六、本决定自</w:t>
      </w:r>
      <w:r>
        <w:rPr>
          <w:rFonts w:hint="eastAsia" w:ascii="宋体" w:hAnsi="宋体" w:eastAsia="仿宋_GB2312" w:cs="仿宋_GB2312"/>
          <w:szCs w:val="22"/>
          <w:lang w:val="en-US" w:eastAsia="zh-CN"/>
        </w:rPr>
        <w:t>2019</w:t>
      </w:r>
      <w:r>
        <w:rPr>
          <w:rFonts w:hint="default" w:ascii="宋体" w:hAnsi="宋体" w:eastAsia="仿宋_GB2312" w:cs="仿宋_GB2312"/>
          <w:szCs w:val="22"/>
        </w:rPr>
        <w:t>年</w:t>
      </w:r>
      <w:r>
        <w:rPr>
          <w:rFonts w:hint="eastAsia" w:ascii="宋体" w:hAnsi="宋体" w:eastAsia="仿宋_GB2312" w:cs="仿宋_GB2312"/>
          <w:szCs w:val="22"/>
          <w:lang w:val="en-US" w:eastAsia="zh-CN"/>
        </w:rPr>
        <w:t>1</w:t>
      </w:r>
      <w:r>
        <w:rPr>
          <w:rFonts w:hint="default" w:ascii="宋体" w:hAnsi="宋体" w:eastAsia="仿宋_GB2312" w:cs="仿宋_GB2312"/>
          <w:szCs w:val="22"/>
        </w:rPr>
        <w:t>月</w:t>
      </w:r>
      <w:r>
        <w:rPr>
          <w:rFonts w:hint="eastAsia" w:ascii="宋体" w:hAnsi="宋体" w:eastAsia="仿宋_GB2312" w:cs="仿宋_GB2312"/>
          <w:szCs w:val="22"/>
          <w:lang w:val="en-US" w:eastAsia="zh-CN"/>
        </w:rPr>
        <w:t>17</w:t>
      </w:r>
      <w:r>
        <w:rPr>
          <w:rFonts w:hint="default" w:ascii="宋体" w:hAnsi="宋体" w:eastAsia="仿宋_GB2312" w:cs="仿宋_GB2312"/>
          <w:szCs w:val="22"/>
        </w:rPr>
        <w:t>日起施行。</w:t>
      </w:r>
    </w:p>
    <w:p>
      <w:pPr>
        <w:keepNext w:val="0"/>
        <w:keepLines w:val="0"/>
        <w:pageBreakBefore w:val="0"/>
        <w:numPr>
          <w:ilvl w:val="0"/>
          <w:numId w:val="0"/>
        </w:numPr>
        <w:kinsoku/>
        <w:wordWrap/>
        <w:overflowPunct/>
        <w:topLinePunct w:val="0"/>
        <w:autoSpaceDE/>
        <w:autoSpaceDN/>
        <w:bidi w:val="0"/>
        <w:snapToGrid/>
        <w:spacing w:beforeLines="0" w:afterLines="0" w:line="590" w:lineRule="exact"/>
        <w:ind w:firstLine="632" w:firstLineChars="200"/>
        <w:textAlignment w:val="auto"/>
        <w:outlineLvl w:val="9"/>
        <w:rPr>
          <w:rFonts w:hint="eastAsia" w:ascii="宋体" w:hAnsi="宋体" w:eastAsia="仿宋_GB2312" w:cs="仿宋_GB2312"/>
          <w:szCs w:val="2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仿宋_GB2312" w:cs="Times New Roman"/>
          <w:sz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46FF9"/>
    <w:rsid w:val="1029250B"/>
    <w:rsid w:val="161F196E"/>
    <w:rsid w:val="1C8D54C1"/>
    <w:rsid w:val="30F03706"/>
    <w:rsid w:val="321A2AAA"/>
    <w:rsid w:val="3C451B1D"/>
    <w:rsid w:val="3D946FF9"/>
    <w:rsid w:val="4517188C"/>
    <w:rsid w:val="4EDB1114"/>
    <w:rsid w:val="5F956BA2"/>
    <w:rsid w:val="6382057A"/>
    <w:rsid w:val="681D3ED3"/>
    <w:rsid w:val="779966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9">
    <w:name w:val="Default Paragraph Font"/>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page number"/>
    <w:basedOn w:val="9"/>
    <w:uiPriority w:val="0"/>
  </w:style>
  <w:style w:type="paragraph" w:customStyle="1" w:styleId="12">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13">
    <w:name w:val="p0"/>
    <w:basedOn w:val="1"/>
    <w:uiPriority w:val="0"/>
    <w:pPr>
      <w:widowControl/>
    </w:pPr>
    <w:rPr>
      <w:rFonts w:hint="eastAsia" w:ascii="宋体" w:hAnsi="宋体"/>
      <w:sz w:val="32"/>
    </w:rPr>
  </w:style>
  <w:style w:type="paragraph" w:customStyle="1" w:styleId="14">
    <w:name w:val="正文 New New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2019-01-23T08:46:00Z</dcterms:created>
  <dc:creator>卢颖东</dc:creator>
  <cp:lastModifiedBy>黎耀兰</cp:lastModifiedBy>
  <cp:lastPrinted>2019-01-23T08:48:39Z</cp:lastPrinted>
  <dcterms:modified xsi:type="dcterms:W3CDTF">2019-01-23T09:53:07Z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