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1320" w:firstLineChars="300"/>
        <w:jc w:val="both"/>
        <w:rPr>
          <w:rFonts w:hint="eastAsia" w:ascii="宋体" w:hAnsi="宋体" w:eastAsia="宋体" w:cs="宋体"/>
          <w:sz w:val="44"/>
          <w:szCs w:val="44"/>
        </w:rPr>
      </w:pPr>
      <w:bookmarkStart w:id="0" w:name="_GoBack"/>
      <w:bookmarkEnd w:id="0"/>
      <w:r>
        <w:rPr>
          <w:rFonts w:hint="eastAsia" w:ascii="宋体" w:hAnsi="宋体" w:eastAsia="宋体" w:cs="宋体"/>
          <w:sz w:val="44"/>
          <w:szCs w:val="44"/>
        </w:rPr>
        <w:t>广东省促进科技成果转化条例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640" w:leftChars="200" w:right="640" w:rightChars="200" w:firstLine="0" w:firstLineChars="0"/>
        <w:jc w:val="both"/>
        <w:textAlignment w:val="auto"/>
        <w:outlineLvl w:val="9"/>
        <w:rPr>
          <w:rFonts w:hint="eastAsia" w:ascii="宋体" w:hAnsi="宋体" w:eastAsia="楷体_GB2312" w:cs="楷体_GB2312"/>
        </w:rPr>
      </w:pPr>
      <w:r>
        <w:rPr>
          <w:rFonts w:hint="eastAsia" w:ascii="宋体" w:hAnsi="宋体" w:eastAsia="楷体_GB2312" w:cs="楷体_GB2312"/>
        </w:rPr>
        <w:t>（2016年</w:t>
      </w:r>
      <w:r>
        <w:rPr>
          <w:rFonts w:hint="eastAsia" w:ascii="宋体" w:hAnsi="宋体" w:eastAsia="楷体_GB2312" w:cs="楷体_GB2312"/>
          <w:lang w:val="en-US" w:eastAsia="zh-CN"/>
        </w:rPr>
        <w:t>12</w:t>
      </w:r>
      <w:r>
        <w:rPr>
          <w:rFonts w:hint="eastAsia" w:ascii="宋体" w:hAnsi="宋体" w:eastAsia="楷体_GB2312" w:cs="楷体_GB2312"/>
        </w:rPr>
        <w:t>月</w:t>
      </w:r>
      <w:r>
        <w:rPr>
          <w:rFonts w:hint="eastAsia" w:ascii="宋体" w:hAnsi="宋体" w:eastAsia="楷体_GB2312" w:cs="楷体_GB2312"/>
          <w:lang w:val="en-US" w:eastAsia="zh-CN"/>
        </w:rPr>
        <w:t>1</w:t>
      </w:r>
      <w:r>
        <w:rPr>
          <w:rFonts w:hint="eastAsia" w:ascii="宋体" w:hAnsi="宋体" w:eastAsia="楷体_GB2312" w:cs="楷体_GB2312"/>
        </w:rPr>
        <w:t>日广东省第十二届人民代表大会常务委员会第二十</w:t>
      </w:r>
      <w:r>
        <w:rPr>
          <w:rFonts w:hint="eastAsia" w:ascii="宋体" w:hAnsi="宋体" w:eastAsia="楷体_GB2312" w:cs="楷体_GB2312"/>
          <w:lang w:eastAsia="zh-CN"/>
        </w:rPr>
        <w:t>九</w:t>
      </w:r>
      <w:r>
        <w:rPr>
          <w:rFonts w:hint="eastAsia" w:ascii="宋体" w:hAnsi="宋体" w:eastAsia="楷体_GB2312" w:cs="楷体_GB2312"/>
        </w:rPr>
        <w:t>次会议通过</w:t>
      </w:r>
      <w:r>
        <w:rPr>
          <w:rFonts w:hint="eastAsia" w:ascii="宋体" w:hAnsi="宋体" w:eastAsia="楷体_GB2312" w:cs="楷体_GB2312"/>
          <w:lang w:val="en-US" w:eastAsia="zh-CN"/>
        </w:rPr>
        <w:t xml:space="preserve">  </w:t>
      </w:r>
      <w:r>
        <w:rPr>
          <w:rFonts w:hint="eastAsia" w:ascii="楷体_GB2312" w:hAnsi="楷体_GB2312" w:eastAsia="楷体_GB2312" w:cs="楷体_GB2312"/>
          <w:sz w:val="32"/>
          <w:szCs w:val="32"/>
          <w:lang w:val="en-US" w:eastAsia="zh-CN"/>
        </w:rPr>
        <w:t>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sz w:val="32"/>
          <w:szCs w:val="32"/>
          <w:lang w:val="en-US" w:eastAsia="zh-CN"/>
        </w:rPr>
        <w:t>》修正</w:t>
      </w:r>
      <w:r>
        <w:rPr>
          <w:rFonts w:hint="eastAsia" w:ascii="宋体" w:hAnsi="宋体" w:eastAsia="楷体_GB2312" w:cs="楷体_GB2312"/>
        </w:rPr>
        <w:t>）</w:t>
      </w:r>
    </w:p>
    <w:p>
      <w:pPr>
        <w:pStyle w:val="2"/>
        <w:rPr>
          <w:rFonts w:hint="eastAsia"/>
        </w:rPr>
      </w:pPr>
    </w:p>
    <w:p>
      <w:pPr>
        <w:spacing w:line="560" w:lineRule="exact"/>
        <w:ind w:firstLine="640" w:firstLineChars="200"/>
        <w:jc w:val="center"/>
        <w:rPr>
          <w:rFonts w:hint="eastAsia" w:ascii="楷体_GB2312" w:hAnsi="楷体_GB2312" w:eastAsia="楷体_GB2312" w:cs="楷体_GB2312"/>
        </w:rPr>
      </w:pPr>
      <w:r>
        <w:rPr>
          <w:rFonts w:hint="eastAsia" w:ascii="楷体_GB2312" w:hAnsi="楷体_GB2312" w:eastAsia="楷体_GB2312" w:cs="楷体_GB2312"/>
        </w:rPr>
        <w:t>目    录</w:t>
      </w:r>
    </w:p>
    <w:p>
      <w:pPr>
        <w:spacing w:line="560" w:lineRule="exact"/>
        <w:ind w:firstLine="640" w:firstLineChars="200"/>
        <w:rPr>
          <w:rFonts w:hint="eastAsia" w:ascii="宋体" w:hAnsi="宋体" w:eastAsia="宋体" w:cs="宋体"/>
        </w:rPr>
      </w:pP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第二章  </w:t>
      </w:r>
      <w:r>
        <w:rPr>
          <w:rFonts w:hint="eastAsia" w:ascii="楷体_GB2312" w:hAnsi="楷体_GB2312" w:eastAsia="楷体_GB2312" w:cs="楷体_GB2312"/>
          <w:lang w:eastAsia="zh-CN"/>
        </w:rPr>
        <w:t>组织实施</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第三章  </w:t>
      </w:r>
      <w:r>
        <w:rPr>
          <w:rFonts w:hint="eastAsia" w:ascii="楷体_GB2312" w:hAnsi="楷体_GB2312" w:eastAsia="楷体_GB2312" w:cs="楷体_GB2312"/>
          <w:lang w:eastAsia="zh-CN"/>
        </w:rPr>
        <w:t>保障措施</w:t>
      </w:r>
    </w:p>
    <w:p>
      <w:pPr>
        <w:spacing w:line="560" w:lineRule="exact"/>
        <w:ind w:firstLine="640" w:firstLineChars="200"/>
        <w:rPr>
          <w:rFonts w:hint="eastAsia" w:ascii="楷体_GB2312" w:hAnsi="楷体_GB2312" w:eastAsia="楷体_GB2312" w:cs="楷体_GB2312"/>
          <w:lang w:eastAsia="zh-CN"/>
        </w:rPr>
      </w:pPr>
      <w:r>
        <w:rPr>
          <w:rFonts w:hint="eastAsia" w:ascii="楷体_GB2312" w:hAnsi="楷体_GB2312" w:eastAsia="楷体_GB2312" w:cs="楷体_GB2312"/>
        </w:rPr>
        <w:t xml:space="preserve">第四章  </w:t>
      </w:r>
      <w:r>
        <w:rPr>
          <w:rFonts w:hint="eastAsia" w:ascii="楷体_GB2312" w:hAnsi="楷体_GB2312" w:eastAsia="楷体_GB2312" w:cs="楷体_GB2312"/>
          <w:lang w:eastAsia="zh-CN"/>
        </w:rPr>
        <w:t>技术权益</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五</w:t>
      </w:r>
      <w:r>
        <w:rPr>
          <w:rFonts w:hint="eastAsia" w:ascii="楷体_GB2312" w:hAnsi="楷体_GB2312" w:eastAsia="楷体_GB2312" w:cs="楷体_GB2312"/>
        </w:rPr>
        <w:t>章  法律责任</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六</w:t>
      </w:r>
      <w:r>
        <w:rPr>
          <w:rFonts w:hint="eastAsia" w:ascii="楷体_GB2312" w:hAnsi="楷体_GB2312" w:eastAsia="楷体_GB2312" w:cs="楷体_GB2312"/>
        </w:rPr>
        <w:t>章  附则</w:t>
      </w:r>
    </w:p>
    <w:p>
      <w:pPr>
        <w:pStyle w:val="2"/>
        <w:rPr>
          <w:rFonts w:hint="eastAsia"/>
        </w:rPr>
      </w:pPr>
    </w:p>
    <w:p>
      <w:pPr>
        <w:snapToGrid w:val="0"/>
        <w:spacing w:line="500" w:lineRule="exact"/>
        <w:rPr>
          <w:rFonts w:hint="eastAsia" w:ascii="仿宋_GB2312" w:hAnsi="仿宋" w:cs="仿宋"/>
          <w:sz w:val="24"/>
          <w:szCs w:val="24"/>
        </w:rPr>
      </w:pPr>
    </w:p>
    <w:p>
      <w:pPr>
        <w:numPr>
          <w:ilvl w:val="0"/>
          <w:numId w:val="1"/>
        </w:numPr>
        <w:snapToGrid w:val="0"/>
        <w:spacing w:line="580" w:lineRule="exact"/>
        <w:ind w:firstLine="2880" w:firstLineChars="900"/>
        <w:rPr>
          <w:rFonts w:hint="eastAsia" w:ascii="黑体" w:hAnsi="黑体" w:eastAsia="黑体" w:cs="黑体"/>
        </w:rPr>
      </w:pPr>
      <w:r>
        <w:rPr>
          <w:rFonts w:hint="eastAsia" w:ascii="黑体" w:hAnsi="黑体" w:eastAsia="黑体" w:cs="黑体"/>
        </w:rPr>
        <w:t>总 则</w:t>
      </w:r>
    </w:p>
    <w:p>
      <w:pPr>
        <w:pStyle w:val="2"/>
        <w:ind w:firstLine="0" w:firstLineChars="0"/>
        <w:rPr>
          <w:rFonts w:hint="eastAsia" w:ascii="仿宋_GB2312" w:hAnsi="仿宋_GB2312" w:eastAsia="仿宋_GB2312" w:cs="仿宋_GB2312"/>
        </w:rPr>
      </w:pP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第一条</w:t>
      </w:r>
      <w:r>
        <w:rPr>
          <w:rFonts w:hint="eastAsia" w:ascii="仿宋_GB2312" w:hAnsi="仿宋_GB2312" w:cs="仿宋_GB2312"/>
        </w:rPr>
        <w:t> 为促进科技成果转化为现实生产力，规范科技成果转化活动，加快实施创新驱动发展战略，推动经济建设和社会发展，根据《中华人民共和国促进科技成果转化法》等法律法规，结合本省实际，制定本条例。</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第二条</w:t>
      </w:r>
      <w:r>
        <w:rPr>
          <w:rFonts w:hint="eastAsia" w:ascii="仿宋_GB2312" w:hAnsi="仿宋_GB2312" w:cs="仿宋_GB2312"/>
        </w:rPr>
        <w:t> 本条例适用于本省行政区域内的科技成果转化活动。</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本条例所称科技成果转化，是指为提高生产力水平而对科技成果所进行的后续试验、开发、应用、推广直至形成新技术、新工艺、新材料、新产品、新服务，发展新产业等活动。</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第三条</w:t>
      </w:r>
      <w:r>
        <w:rPr>
          <w:rFonts w:hint="eastAsia" w:ascii="仿宋_GB2312" w:hAnsi="仿宋_GB2312" w:cs="仿宋_GB2312"/>
        </w:rPr>
        <w:t> 促进科技成果转化应当尊重科技创新和市场规律，体现智力劳动价值分配导向，按照利益共享、公平公开、权利与义务一致、激励与约束并重、经济效益与社会效益并重、有利环境和节约资源的原则，保障参与科技成果转化各方主体的权益，激发全社会创新创业活力。</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第四条</w:t>
      </w:r>
      <w:r>
        <w:rPr>
          <w:rFonts w:hint="eastAsia" w:ascii="仿宋_GB2312" w:hAnsi="仿宋_GB2312" w:cs="仿宋_GB2312"/>
        </w:rPr>
        <w:t> 各级人民政府负责管理、指导和协调本行政区域内的科技成果转化促进工作。</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县级以上人民政府科学技术等主管部门在各自职责范围内负责管理、指导和协调本行政区域内的科技成果转化促进工作，加强科技成果转化服务和宣传，营造有利于科技成果转化的良好环境。</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第五条</w:t>
      </w:r>
      <w:r>
        <w:rPr>
          <w:rFonts w:hint="eastAsia" w:ascii="仿宋_GB2312" w:hAnsi="仿宋_GB2312" w:cs="仿宋_GB2312"/>
        </w:rPr>
        <w:t> 建立以企业为主体、高等院校、科学技术研究开发机构和科技人员共同参与的科技成果转化体制，鼓励高等院校、科学技术研究开发机构开展科技成果转化活动，完善科技成果转化服务体系，培育科技成果交易市场，促进科技成果转化与产业化。</w:t>
      </w:r>
    </w:p>
    <w:p>
      <w:pPr>
        <w:snapToGrid w:val="0"/>
        <w:spacing w:line="580" w:lineRule="exact"/>
        <w:ind w:firstLine="640" w:firstLineChars="200"/>
        <w:rPr>
          <w:rFonts w:hint="eastAsia" w:ascii="仿宋_GB2312" w:hAnsi="仿宋_GB2312" w:cs="仿宋_GB2312"/>
        </w:rPr>
      </w:pPr>
    </w:p>
    <w:p>
      <w:pPr>
        <w:snapToGrid w:val="0"/>
        <w:spacing w:line="580" w:lineRule="exact"/>
        <w:ind w:firstLine="2560" w:firstLineChars="800"/>
        <w:rPr>
          <w:rFonts w:hint="eastAsia" w:ascii="黑体" w:hAnsi="黑体" w:eastAsia="黑体" w:cs="黑体"/>
        </w:rPr>
      </w:pPr>
      <w:r>
        <w:rPr>
          <w:rFonts w:hint="eastAsia" w:ascii="黑体" w:hAnsi="黑体" w:eastAsia="黑体" w:cs="黑体"/>
        </w:rPr>
        <w:t>第二章  组织实施</w:t>
      </w:r>
    </w:p>
    <w:p>
      <w:pPr>
        <w:snapToGrid w:val="0"/>
        <w:spacing w:line="580" w:lineRule="exact"/>
        <w:ind w:firstLine="640" w:firstLineChars="200"/>
        <w:rPr>
          <w:rFonts w:hint="eastAsia" w:ascii="仿宋_GB2312" w:hAnsi="仿宋_GB2312" w:cs="仿宋_GB2312"/>
        </w:rPr>
      </w:pPr>
    </w:p>
    <w:p>
      <w:pPr>
        <w:snapToGrid w:val="0"/>
        <w:spacing w:line="580" w:lineRule="exact"/>
        <w:ind w:firstLine="640"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rPr>
        <w:t> 利用本省财政性资金设立应用类科技项目和其他相关科技项目，县级以上人民政府科学技术、</w:t>
      </w:r>
      <w:r>
        <w:rPr>
          <w:rFonts w:hint="eastAsia" w:ascii="仿宋_GB2312" w:hAnsi="仿宋_GB2312" w:eastAsia="仿宋_GB2312" w:cs="仿宋_GB2312"/>
        </w:rPr>
        <w:t>发展改革、工业和信息化、财政等主管部门应当发挥市场对技术研发方向、路线选择和创新资源配置的导向作用，在制定相关科技规划、计划和编制项目指南时听取相关行业、企业的意见。</w:t>
      </w:r>
    </w:p>
    <w:p>
      <w:pPr>
        <w:snapToGrid w:val="0"/>
        <w:spacing w:line="580" w:lineRule="exact"/>
        <w:ind w:firstLine="640" w:firstLineChars="200"/>
        <w:rPr>
          <w:rFonts w:hint="eastAsia" w:ascii="仿宋_GB2312" w:hAnsi="仿宋_GB2312" w:cs="仿宋_GB2312"/>
        </w:rPr>
      </w:pPr>
      <w:r>
        <w:rPr>
          <w:rFonts w:hint="eastAsia" w:ascii="仿宋_GB2312" w:hAnsi="仿宋_GB2312" w:eastAsia="仿宋_GB2312" w:cs="仿宋_GB2312"/>
        </w:rPr>
        <w:t>县级以上人民政府科学技术、发展改革、工业和信息化、财政等主管部门在组织实施应用类科技项目时，应当明确项目承</w:t>
      </w:r>
      <w:r>
        <w:rPr>
          <w:rFonts w:hint="eastAsia" w:ascii="仿宋_GB2312" w:hAnsi="仿宋_GB2312" w:cs="仿宋_GB2312"/>
        </w:rPr>
        <w:t>担者的科技成果转化责任和期限，将科技成果转化和知识产权创造、运用情况纳入科技项目验收和后评估的指标体系。组织项目验收时，应当增加行业专家的比例，并可以委托第三方对成果转化情况进行评估，邀请用户进行匿名评价。</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项目承担单位应当建立规范的科技成果管理制度，加强知识产权管理、运用和保护。</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第七条</w:t>
      </w:r>
      <w:r>
        <w:rPr>
          <w:rFonts w:hint="eastAsia" w:ascii="仿宋_GB2312" w:hAnsi="仿宋_GB2312" w:cs="仿宋_GB2312"/>
        </w:rPr>
        <w:t> 省人民政府科学技术主管部门应当健全科技报告制度，推进科技成果的完整保存、持续积累、开放共享和转化应用。</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省人民政府科学技术主管部门应当建立统一的科技成果信息平台，健全科技成果信息公开制度，完善科技成果信息采集与服务规范，无偿向社会提供科技成果信息查询、筛选等公益服务，对本省科技成果转化状况进行监测、分析和评价。</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利用本省财政性资金设立的科技项目的承担者应当在项目结题时向有关的科学技术主管部门和项目主管部门提交科技报告，并按照规定将科技成果和相关知识产权信息汇交到科技成果信息系统。</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鼓励利用非财政性资金设立的科技项目的承担者向县级以上人民政府科学技术主管部门提交科技报告，将科技成果和相关知识产权信息汇交到科技成果信息系统。</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第八条</w:t>
      </w:r>
      <w:r>
        <w:rPr>
          <w:rFonts w:hint="eastAsia" w:ascii="仿宋_GB2312" w:hAnsi="仿宋_GB2312" w:cs="仿宋_GB2312"/>
        </w:rPr>
        <w:t> 各级人民政府应当通过政府首购、订购等政策措施，采购新技术、新工艺、新材料、新产品、新服务，支持科技成果转化。</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各级人民政府可以通过事后奖补、以奖代补、风险补偿等方式，支持具有自主知识产权的重大成套设备、通用和专用设备及核心零部件等首台(套)装备的研发。</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第九条</w:t>
      </w:r>
      <w:r>
        <w:rPr>
          <w:rFonts w:hint="eastAsia" w:ascii="仿宋_GB2312" w:hAnsi="仿宋_GB2312" w:cs="仿宋_GB2312"/>
        </w:rPr>
        <w:t> 利用本省财政性资金设立的高等院校、科学技术研究开发机构对其持有的科技成果享有自主处置权，可以自主决定成果的实施、转让、许可或者作价投资等事项，相关主管部门不再审批或者备案，涉及国家秘密、国家安全除外。</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高等院校、科学技术研究开发机构将与科技成果转化相关的固定资产以及科技成果等无形资产的所有权或者使用权入股组建科技成果转化实体。对科技成果转化实体取得的市场收益，利用本省财政性资金设立的高等院校、科学技术研究开发机构在履行相关审批手续并纳入单位预算管理后，可以将其用于与科技成果转化相关的市场经营活动。</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第十条</w:t>
      </w:r>
      <w:r>
        <w:rPr>
          <w:rFonts w:hint="eastAsia" w:ascii="仿宋_GB2312" w:hAnsi="仿宋_GB2312" w:cs="仿宋_GB2312"/>
        </w:rPr>
        <w:t> 高等院校、科学技术研究开发机构应当建立促进科技成果转化的管理制度，明确科技成果转化实施步骤、权利责任、分配方案、组织保障等事项，科技成果转化管理制度的制定应当充分听取本单位职工意见，经公示后由职工代表大会按照本单位重大决策事项的相关规定审议通过。</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利用本省财政性资金设立的高等院校、科学技术研究开发机构科技成果转化工作中涉及的重大事项，应当经领导班子集体研究决策。</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第十一条</w:t>
      </w:r>
      <w:r>
        <w:rPr>
          <w:rFonts w:hint="eastAsia" w:ascii="仿宋_GB2312" w:hAnsi="仿宋_GB2312" w:cs="仿宋_GB2312"/>
        </w:rPr>
        <w:t> 高等院校、科学技术研究开发机构组织实施科技成果转化时，应当保障成果研发团队或者完成人的知情权，成果研发团队或者完成人应当配合实施科技成果转化。</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高等院校、科学技术研究开发机构拟转让或者放弃持有的科技成果的，应当提前一个月书面通知成果研发团队或者完成人，成果研发团队或者完成人在同等条件下享有优先受让权。</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第十二条</w:t>
      </w:r>
      <w:r>
        <w:rPr>
          <w:rFonts w:hint="eastAsia" w:ascii="仿宋_GB2312" w:hAnsi="仿宋_GB2312" w:cs="仿宋_GB2312"/>
        </w:rPr>
        <w:t> 高等院校、科学技术研究开发机构应当制定科研项目管理台账制度，如实记录参与研究开发和转化科技成果的人员变更、工作分工、实施进度和工作成效等实际工作量信息。该管理台账可以作为科技成果转化权益分配的确认依据。</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第十三条</w:t>
      </w:r>
      <w:r>
        <w:rPr>
          <w:rFonts w:hint="eastAsia" w:ascii="仿宋_GB2312" w:hAnsi="仿宋_GB2312" w:cs="仿宋_GB2312"/>
        </w:rPr>
        <w:t> 鼓励和引导高等院校、科学技术研究开发机构设立科技成果转化工作部门，并可以提取一定比例的成果转化收益，用于该部门的运行和对科技成果转化服务做出重要贡献人员的奖励和报酬。</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高等院校、科学技术研究开发机构可以委托第三方科技成果转化服务机构代理开展科技成果许可、转让、作价投资等工作。</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第十四条</w:t>
      </w:r>
      <w:r>
        <w:rPr>
          <w:rFonts w:hint="eastAsia" w:ascii="仿宋_GB2312" w:hAnsi="仿宋_GB2312" w:cs="仿宋_GB2312"/>
        </w:rPr>
        <w:t> 利用本省财政性资金设立的高等院校、科学技术研究开发机构应当通过协议定价、在技术交易市场挂牌交易、拍卖等方式确定科技成果价格。</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通过协议定价的，科技成果持有单位应当在本单位公示科技成果名称和拟交易价格，公示时间不少于十五日。单位应当明确并公开异议处理程序和办法。通过在技术交易市场挂牌交易、拍卖方式进行科技成果转化的，可以采取公开询价的方式确定挂牌交易、拍卖前的基准价格。</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第十五条</w:t>
      </w:r>
      <w:r>
        <w:rPr>
          <w:rFonts w:hint="eastAsia" w:ascii="仿宋_GB2312" w:hAnsi="仿宋_GB2312" w:cs="仿宋_GB2312"/>
        </w:rPr>
        <w:t> 高等院校、科学技术研究开发机构通过协议定价、技术交易市场挂牌交易、拍卖等方式确定科技成果价格，单位负责人已履行勤勉尽责义务且没有非法牟利的，不承担科技成果转化后价格变化的责任。</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第十六条</w:t>
      </w:r>
      <w:r>
        <w:rPr>
          <w:rFonts w:hint="eastAsia" w:ascii="仿宋_GB2312" w:hAnsi="仿宋_GB2312" w:cs="仿宋_GB2312"/>
        </w:rPr>
        <w:t> 利用本省财政性资金设立的高等院校、科学技术研究开发机构应当建立科技成果转化的财务管理制度，将取得的科技成果转化收益计入科研事业收入，作价入股的股权红利计入其他收入，并应当纳入单位预算管理和统一会计核算。</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科技成果转化资产处置和收益管理的具体办法，由省人民政府另行制定。</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第十七条</w:t>
      </w:r>
      <w:r>
        <w:rPr>
          <w:rFonts w:hint="eastAsia" w:ascii="仿宋_GB2312" w:hAnsi="仿宋_GB2312" w:cs="仿宋_GB2312"/>
        </w:rPr>
        <w:t> 利用本省财政性资金设立的高等院校、科学技术研究开发机构采取向他人转让、合作实施、作价投资等方式转化科技成果的，应当与受让方或者合作方签订投资协议，并明确无形资产投资退出方式。</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利用本省财政性资金设立的高等院校、科学技术研究开发机构实施科技成果转化活动，已经履行勤勉尽责义务仍发生投资亏损的，经单位主管部门审核后，不纳入高等院校、科学技术研究开发机构国有资产对外投资保值增值考核范围，免责办理亏损资产核销手续。</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第十八条</w:t>
      </w:r>
      <w:r>
        <w:rPr>
          <w:rFonts w:hint="eastAsia" w:ascii="仿宋_GB2312" w:hAnsi="仿宋_GB2312" w:cs="仿宋_GB2312"/>
        </w:rPr>
        <w:t> 利用本省财政性资金设立的高等院校、科学技术研究开发机构应当在每年第一季度向其主管部门提交上一年度科技成果转化情况报告，说明本单位依法取得的科技成果数量、实施转化情况以及相关收入分配情况，主管部门应当在收到科技成果转化情况年度报告后一个月内报送同级财政、科学技术主管部门。</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第十九条</w:t>
      </w:r>
      <w:r>
        <w:rPr>
          <w:rFonts w:hint="eastAsia" w:ascii="仿宋_GB2312" w:hAnsi="仿宋_GB2312" w:cs="仿宋_GB2312"/>
        </w:rPr>
        <w:t> 利用本省财政性资金设立的高等院校、科学技术研究开发机构的主管部门以及财政、科学技术等相关部门应当建立有利于促进科技成果转化的绩效考核评价体系和责任追究制度，将科技成果转化工作成效纳入对单位以及单位负责人的考核评价内容，将评价结果作为对单位给予科研资金支持的重要依据之一，并对科技成果转化业绩突出的相关单位及人员加大科研资金支持。</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第二十条</w:t>
      </w:r>
      <w:r>
        <w:rPr>
          <w:rFonts w:hint="eastAsia" w:ascii="仿宋_GB2312" w:hAnsi="仿宋_GB2312" w:cs="仿宋_GB2312"/>
        </w:rPr>
        <w:t> 建立以企业为主体的产业技术创新制度。对利用财政性资金设立的具有市场应用前景、产业目标明确的科技项目，应当发挥企业在研究开发方向选择、项目实施和成果应用中的主导作用，由企业牵头与高等院校、科学技术研究开发机构及其他组织共同实施。</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第二十一条</w:t>
      </w:r>
      <w:r>
        <w:rPr>
          <w:rFonts w:hint="eastAsia" w:ascii="仿宋_GB2312" w:hAnsi="仿宋_GB2312" w:cs="仿宋_GB2312"/>
        </w:rPr>
        <w:t> 企业为采用新技术、新工艺、新材料、新服务和生产新产品，可以自行发布信息、委托科技中介服务机构征集其所需的科技成果，或者征寻科技成果转化的合作者。</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县级以上人民政府科学技术主管部门和其他有关部门应当根据职责分工，为企业获取所需的科技成果提供帮助和支持。</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第二十二条</w:t>
      </w:r>
      <w:r>
        <w:rPr>
          <w:rFonts w:hint="eastAsia" w:ascii="仿宋_GB2312" w:hAnsi="仿宋_GB2312" w:cs="仿宋_GB2312"/>
        </w:rPr>
        <w:t> 鼓励企业通过购买科技成果、技术入股等方式，承接高等院校、科学技术研究开发机构等单位的科技成果并实施转化。对承接科技成果的企业，省和地级以上市人民政府可以按照技术合同交易额或者技术入股出资额的一定比例依法给予补助。</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第二十三条</w:t>
      </w:r>
      <w:r>
        <w:rPr>
          <w:rFonts w:hint="eastAsia" w:ascii="仿宋_GB2312" w:hAnsi="仿宋_GB2312" w:cs="仿宋_GB2312"/>
        </w:rPr>
        <w:t> 鼓励企业合理、有效地利用外资，引进国外先进的技术、设备和管理经验，实施科技成果转化。</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支持以优势企业为主体，联合国内外高等院校、科研机构共同建设国际科技合作基地、国际科技企业孵化器、国际技术转让平台等。</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第二十四条</w:t>
      </w:r>
      <w:r>
        <w:rPr>
          <w:rFonts w:hint="eastAsia" w:ascii="仿宋_GB2312" w:hAnsi="仿宋_GB2312" w:cs="仿宋_GB2312"/>
        </w:rPr>
        <w:t> 中小微企业申报各级财政性科技资金项目，承担科技重大专项、科技基础设施建设、各类科技计划项目和高新技术产业化项目，县级以上人民政府科学技术、中小微企业工作主管部门等有关部门对符合条件的应当给予政策和资金支持。</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支持大型企业联合中小微企业承担科技重大专项、科技基础设施建设、各类科技计划项目和高新技术产业化项目。县级以上人民政府科学技术、中小微企业工作主管部门等有关部门应当提供指导和服务。</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省级支持企业发展有关专项资金应当优先支持属于重点培育对象的中小微企业开展科技成果转化工作。</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鼓励有条件的地区研究制订有关的财政支持政策，促进中小微企业开展科技成果转化工作。</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第二十五条</w:t>
      </w:r>
      <w:r>
        <w:rPr>
          <w:rFonts w:hint="eastAsia" w:ascii="仿宋_GB2312" w:hAnsi="仿宋_GB2312" w:cs="仿宋_GB2312"/>
        </w:rPr>
        <w:t> 鼓励发展众创、众包、众扶、众筹等新型模式，支持创业人员使用自有或者受让的科技成果创办企业。</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鼓励高等院校教师、科学技术研究开发机构科技人员支持学生创业或者与学生联合创业。</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第二十六条</w:t>
      </w:r>
      <w:r>
        <w:rPr>
          <w:rFonts w:hint="eastAsia" w:ascii="仿宋_GB2312" w:hAnsi="仿宋_GB2312" w:cs="仿宋_GB2312"/>
        </w:rPr>
        <w:t> 企业可以与高等院校、科学技术研究开发机构及其他组织进行人才、知识交流和技术转移，共享研发设施，采取科技特派员或者联合建立研究开发平台、技术转移机构、技术创新联盟等产学研合作方式，共同开展研究开发、成果应用与推广、标准研究与制定等活动。</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合作各方应当签订协议，依法约定合作的组织形式、任务分工、资金投入、知识产权归属、权益分配、风险分担和违约责任等事项。</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鼓励和支持行业协会推动企业与高等院校、科学技术研究开发机构开展产学研合作，实施科技成果对接。</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第二十七条</w:t>
      </w:r>
      <w:r>
        <w:rPr>
          <w:rFonts w:hint="eastAsia" w:ascii="仿宋_GB2312" w:hAnsi="仿宋_GB2312" w:cs="仿宋_GB2312"/>
        </w:rPr>
        <w:t> 县级以上人民政府应当制定相关政策，推动技术交易市场建设，为科技成果转让等技术贸易活动提供交易场所、信息平台。</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第二十八条</w:t>
      </w:r>
      <w:r>
        <w:rPr>
          <w:rFonts w:hint="eastAsia" w:ascii="仿宋_GB2312" w:hAnsi="仿宋_GB2312" w:cs="仿宋_GB2312"/>
        </w:rPr>
        <w:t> 支持建立市场化的科技中介服务机构，为科技成果转化提供技术咨询评估、成果推介、交易经纪、融资担保等服务。</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鼓励企业、高等院校、科学技术研究开发机构设立具有独立法人资格的科技中介服务机构。</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从事科技成果转化咨询、科技信息服务等工作的科技中介服务机构，按照规定享受非营利科研机构的优惠政策。支持符合条件的科技中介服务机构承接政府委托的专业性、技术性强的项目。科学技术等主管部门应当建立健全科技中介服务管理规范，加强对中介服务机构的监督管理。</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第二十九条</w:t>
      </w:r>
      <w:r>
        <w:rPr>
          <w:rFonts w:hint="eastAsia" w:ascii="仿宋_GB2312" w:hAnsi="仿宋_GB2312" w:cs="仿宋_GB2312"/>
        </w:rPr>
        <w:t> 省和地级以上市人民政府应当根据产业和区域发展需要建设公共研究开发平台，为科技成果转化提供技术集成、共性技术研究开发、中间试验和工业性试验、科技成果系统化和工程化开发、技术推广与示范等服务。</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第三十条</w:t>
      </w:r>
      <w:r>
        <w:rPr>
          <w:rFonts w:hint="eastAsia" w:ascii="仿宋_GB2312" w:hAnsi="仿宋_GB2312" w:cs="仿宋_GB2312"/>
        </w:rPr>
        <w:t> 县级以上人民政府可以通过科技企业孵化器后补助、风险补偿金等措施，鼓励和支持科技企业孵化器发展，重点发展以市场需求为导向和基于互联网的新型孵化方式，促进科技成果有效转化。</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省人民政府科学技术主管部门应当建立科技企业孵化机构运营评价体系，引导和鼓励各类科技企业孵化机构为初创期科技型中小企业提供孵化场地、创业辅导、研究开发与管理咨询等服务。</w:t>
      </w:r>
    </w:p>
    <w:p>
      <w:pPr>
        <w:snapToGrid w:val="0"/>
        <w:spacing w:line="580" w:lineRule="exact"/>
        <w:ind w:firstLine="640" w:firstLineChars="200"/>
        <w:rPr>
          <w:rFonts w:hint="eastAsia" w:ascii="仿宋_GB2312" w:hAnsi="仿宋_GB2312" w:cs="仿宋_GB2312"/>
        </w:rPr>
      </w:pPr>
    </w:p>
    <w:p>
      <w:pPr>
        <w:snapToGrid w:val="0"/>
        <w:spacing w:line="580" w:lineRule="exact"/>
        <w:ind w:firstLine="2560" w:firstLineChars="800"/>
        <w:rPr>
          <w:rFonts w:hint="eastAsia" w:ascii="黑体" w:hAnsi="黑体" w:eastAsia="黑体" w:cs="黑体"/>
        </w:rPr>
      </w:pPr>
      <w:r>
        <w:rPr>
          <w:rFonts w:hint="eastAsia" w:ascii="黑体" w:hAnsi="黑体" w:eastAsia="黑体" w:cs="黑体"/>
        </w:rPr>
        <w:t>第三章  保障措施</w:t>
      </w:r>
    </w:p>
    <w:p>
      <w:pPr>
        <w:snapToGrid w:val="0"/>
        <w:spacing w:line="580" w:lineRule="exact"/>
        <w:ind w:firstLine="640" w:firstLineChars="200"/>
        <w:rPr>
          <w:rFonts w:hint="eastAsia" w:ascii="仿宋_GB2312" w:hAnsi="仿宋_GB2312" w:cs="仿宋_GB2312"/>
        </w:rPr>
      </w:pP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第三十一条</w:t>
      </w:r>
      <w:r>
        <w:rPr>
          <w:rFonts w:hint="eastAsia" w:ascii="仿宋_GB2312" w:hAnsi="仿宋_GB2312" w:cs="仿宋_GB2312"/>
        </w:rPr>
        <w:t> 县级以上人民政府应当保障科技成果转化财政经费投入，财政经费可以用于科技成果转化的引导资金、贷款贴息、补助资金和风险投资以及作为其他促进科技成果转化的资金用途。</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县级以上人民政府应当在基础设施建设、人才培养及其他相关方面对科技成果转化给予支持和保障。</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第三十二条</w:t>
      </w:r>
      <w:r>
        <w:rPr>
          <w:rFonts w:hint="eastAsia" w:ascii="仿宋_GB2312" w:hAnsi="仿宋_GB2312" w:cs="仿宋_GB2312"/>
        </w:rPr>
        <w:t> 省和地级以上市人民政府可以采取财政后补助等方式对企业实行普惠性财政补助，落实研发费用加计扣除政策，支持和引导企业增加研发投入，开展科学技术研究开发、成果转化等相关活动。</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第三十三条</w:t>
      </w:r>
      <w:r>
        <w:rPr>
          <w:rFonts w:hint="eastAsia" w:ascii="仿宋_GB2312" w:hAnsi="仿宋_GB2312" w:cs="仿宋_GB2312"/>
        </w:rPr>
        <w:t> 企业、高等院校和科学技术研究开发机构进行技术转让所得，以及在技术转让过程中发生的与技术转让项目密切相关的技术咨询、技术服务和技术培训所得，按照国家有关规定享受税收优惠。</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第三十四条</w:t>
      </w:r>
      <w:r>
        <w:rPr>
          <w:rFonts w:hint="eastAsia" w:ascii="仿宋_GB2312" w:hAnsi="仿宋_GB2312" w:cs="仿宋_GB2312"/>
        </w:rPr>
        <w:t> 支持有条件的人民政府依法建立政策性的创业投资引导基金、风险补偿资金、科技融资担保和科技金融服务平台，为促进科技成果转化提供金融支持。</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鼓励金融机构加大对企业、高等院校和科学技术研究开发机构科技成果转化的融资支持力度，提高企业、高等院校和科学技术研究开发机构转化科技成果的能力。</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鼓励和引导企业通过依法发行股票和债券、股权交易、融资租赁、知识产权质押等方式筹集资金，开展科技成果转化活动。</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第三十五条</w:t>
      </w:r>
      <w:r>
        <w:rPr>
          <w:rFonts w:hint="eastAsia" w:ascii="仿宋_GB2312" w:hAnsi="仿宋_GB2312" w:cs="仿宋_GB2312"/>
        </w:rPr>
        <w:t> 县级以上人民政府鼓励和引导企业、事业单位以及其他组织或者个人等参与风险投资事业，通过设立科技成果转化基金或者风险基金等方式促进科技成果转化。</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第三十六条</w:t>
      </w:r>
      <w:r>
        <w:rPr>
          <w:rFonts w:hint="eastAsia" w:ascii="仿宋_GB2312" w:hAnsi="仿宋_GB2312" w:cs="仿宋_GB2312"/>
        </w:rPr>
        <w:t> 省人民政府人力资源和社会保障、科学技术、教育以及其他有关主管部门应当建立符合科技成果转化工作特点的职称评审制度，职称评审依据应当包括专利创造、标准制定及科技成果转化情况等内容。</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科技人员参与职称评审与岗位考核时，科技成果转化应用情况与论文指标要求同等对待，技术转让成交额与课题指标要求同等对待。</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第三十七条</w:t>
      </w:r>
      <w:r>
        <w:rPr>
          <w:rFonts w:hint="eastAsia" w:ascii="仿宋_GB2312" w:hAnsi="仿宋_GB2312" w:cs="仿宋_GB2312"/>
        </w:rPr>
        <w:t> 省和地级以上市人民政府应当制定科技成果转化人才引进和培养措施，加大对国内紧缺的前沿技术路线研究、技术需求分析、无形资产价值评估、技术营销、技术并购、知识产权运营等领域专业人才的引进和培养力度。</w:t>
      </w:r>
    </w:p>
    <w:p>
      <w:pPr>
        <w:snapToGrid w:val="0"/>
        <w:spacing w:line="580" w:lineRule="exact"/>
        <w:ind w:firstLine="640" w:firstLineChars="200"/>
        <w:rPr>
          <w:rFonts w:hint="eastAsia" w:ascii="仿宋_GB2312" w:hAnsi="仿宋_GB2312" w:cs="仿宋_GB2312"/>
        </w:rPr>
      </w:pPr>
    </w:p>
    <w:p>
      <w:pPr>
        <w:snapToGrid w:val="0"/>
        <w:spacing w:line="580" w:lineRule="exact"/>
        <w:ind w:firstLine="2240" w:firstLineChars="700"/>
        <w:rPr>
          <w:rFonts w:hint="eastAsia" w:ascii="黑体" w:hAnsi="黑体" w:eastAsia="黑体" w:cs="黑体"/>
        </w:rPr>
      </w:pPr>
      <w:r>
        <w:rPr>
          <w:rFonts w:hint="eastAsia" w:ascii="黑体" w:hAnsi="黑体" w:eastAsia="黑体" w:cs="黑体"/>
        </w:rPr>
        <w:t>第四章  技术权益</w:t>
      </w:r>
    </w:p>
    <w:p>
      <w:pPr>
        <w:snapToGrid w:val="0"/>
        <w:spacing w:line="580" w:lineRule="exact"/>
        <w:ind w:firstLine="640" w:firstLineChars="200"/>
        <w:rPr>
          <w:rFonts w:hint="eastAsia" w:ascii="仿宋_GB2312" w:hAnsi="仿宋_GB2312" w:cs="仿宋_GB2312"/>
        </w:rPr>
      </w:pP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第三十八条</w:t>
      </w:r>
      <w:r>
        <w:rPr>
          <w:rFonts w:hint="eastAsia" w:ascii="仿宋_GB2312" w:hAnsi="仿宋_GB2312" w:cs="仿宋_GB2312"/>
        </w:rPr>
        <w:t> 鼓励企业加强科技成果转化人才的引进、培养和使用，有条件的企业可以设立相应的人才发展专项资金。</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鼓励企业建立健全科技成果转化奖励机制。对在科技成果转化中作出重要贡献的有关人员，企业可以通过新产品销售提成或者股权、期权等形式予以奖励。</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第三十九条</w:t>
      </w:r>
      <w:r>
        <w:rPr>
          <w:rFonts w:hint="eastAsia" w:ascii="仿宋_GB2312" w:hAnsi="仿宋_GB2312" w:cs="仿宋_GB2312"/>
        </w:rPr>
        <w:t> 利用本省财政性资金设立的高等院校、科学技术研究开发机构实施科技成果转化所获收益，全部留归单位，在对完成、转化该项科技成果做出重要贡献的人员给予奖励和报酬后，主要用于科学技术研究开发与成果转化、奖励其他参与科技成果转化的人员、人才引进与培养和知识产权保护等相关工作。</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第四十条</w:t>
      </w:r>
      <w:r>
        <w:rPr>
          <w:rFonts w:hint="eastAsia" w:ascii="仿宋_GB2312" w:hAnsi="仿宋_GB2312" w:cs="仿宋_GB2312"/>
        </w:rPr>
        <w:t> 科技成果完成单位实施科技成果转化的，可以规定或者与成果研发团队、完成人约定科技成果转化奖励和报酬的方式、数额和时限。科技成果完成单位制定相关规定，应当充分听取本单位科技人员的意见，并在本单位公开相关规定。</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第四十一条</w:t>
      </w:r>
      <w:r>
        <w:rPr>
          <w:rFonts w:hint="eastAsia" w:ascii="仿宋_GB2312" w:hAnsi="仿宋_GB2312" w:cs="仿宋_GB2312"/>
        </w:rPr>
        <w:t> 利用本省财政性资金设立的高等院校、科学技术研究开发机构未规定、也未与科技人员约定实施科技成果转化的奖励和报酬的方式和数额的，按照下列标准对完成、转化科技成果做出重要贡献的人员给予奖励和报酬:</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(一)将科技成果转让、许可给他人实施的，从该项科技成果转让净收入或者许可净收入中提取不低于百分之六十的比例;</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(二)将科技成果作价投资的，从该项科技成果形成的股份或者出资比例中提取不低于百分之六十的比例;</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(三)将科技成果自行实施或者与他人合作实施的，应当在实施转化成功投产后连续三至五年，每年从实施该项科技成果的营业利润中提取不低于百分之五的比例。</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在研究开发和科技成果转化中做出主要贡献的人员，获得奖励和报酬的份额不低于本条第一款第一项、第二项规定总额的百分之五十。</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本条第一款所称净收入是指科技成果技术合同成交额扣除完成交易发生的直接成本，包括评估费用、谈判费用、专利申请和维持等费用及税金等。</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第四十二条</w:t>
      </w:r>
      <w:r>
        <w:rPr>
          <w:rFonts w:hint="eastAsia" w:ascii="仿宋_GB2312" w:hAnsi="仿宋_GB2312" w:cs="仿宋_GB2312"/>
        </w:rPr>
        <w:t> 科技人员面向企业、事业单位和其他生产经营者开展技术开发、技术咨询、技术服务、技术培训等促进科技成果转化的合作活动，可以按照《中华人民共和国促进科技成果转化法》等有关规定给予奖励和报酬。</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第四十三条</w:t>
      </w:r>
      <w:r>
        <w:rPr>
          <w:rFonts w:hint="eastAsia" w:ascii="仿宋_GB2312" w:hAnsi="仿宋_GB2312" w:cs="仿宋_GB2312"/>
        </w:rPr>
        <w:t> 利用本省财政性资金设立的高等院校、科学技术研究开发机构中担任行政职务的科技人员，对完成、转化科技成果做出重要贡献的，可以按照《中华人民共和国促进科技成果转化法》等有关规定获取奖励和报酬。</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第四十四条</w:t>
      </w:r>
      <w:r>
        <w:rPr>
          <w:rFonts w:hint="eastAsia" w:ascii="仿宋_GB2312" w:hAnsi="仿宋_GB2312" w:cs="仿宋_GB2312"/>
        </w:rPr>
        <w:t> 本省国有企业和利用本省财政性资金设立的高等院校、科学技术研究开发机构以及其他事业单位科技成果转化的奖励和报酬支出，计入本单位当年工资总额，但不受本单位当年工资总额限制，不纳入本单位工资总额基数。</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第四十五条</w:t>
      </w:r>
      <w:r>
        <w:rPr>
          <w:rFonts w:hint="eastAsia" w:ascii="仿宋_GB2312" w:hAnsi="仿宋_GB2312" w:cs="仿宋_GB2312"/>
        </w:rPr>
        <w:t> 利用本省财政性资金资助的项目形成的科技成果，省人民政府为了国家安全、国家利益和重大社会公共利益的需要，可以无偿实施，也可以许可他人有偿实施或者无偿实施。</w:t>
      </w:r>
    </w:p>
    <w:p>
      <w:pPr>
        <w:snapToGrid w:val="0"/>
        <w:spacing w:line="580" w:lineRule="exact"/>
        <w:ind w:firstLine="640" w:firstLineChars="200"/>
        <w:rPr>
          <w:rFonts w:hint="eastAsia" w:ascii="仿宋_GB2312" w:hAnsi="仿宋_GB2312" w:cs="仿宋_GB2312"/>
        </w:rPr>
      </w:pPr>
      <w:r>
        <w:rPr>
          <w:rFonts w:hint="eastAsia" w:ascii="仿宋_GB2312" w:hAnsi="仿宋_GB2312" w:cs="仿宋_GB2312"/>
        </w:rPr>
        <w:t>利用本省财政性资金资助的应用类科技项目，项目立项单位与项目承担者在签订项目合同时，应当约定成果转化期限，明确未在约定期限内实施转化的，可以由成果研发团队或者完成人实施成果转化。</w:t>
      </w:r>
    </w:p>
    <w:p>
      <w:pPr>
        <w:snapToGrid w:val="0"/>
        <w:spacing w:line="580" w:lineRule="exact"/>
        <w:ind w:firstLine="640" w:firstLineChars="200"/>
        <w:rPr>
          <w:rFonts w:hint="eastAsia" w:ascii="仿宋_GB2312" w:hAnsi="仿宋_GB2312" w:cs="仿宋_GB2312"/>
        </w:rPr>
      </w:pPr>
    </w:p>
    <w:p>
      <w:pPr>
        <w:snapToGrid w:val="0"/>
        <w:spacing w:line="580" w:lineRule="exact"/>
        <w:ind w:firstLine="2560" w:firstLineChars="800"/>
        <w:rPr>
          <w:rFonts w:hint="eastAsia" w:ascii="黑体" w:hAnsi="黑体" w:eastAsia="黑体" w:cs="黑体"/>
        </w:rPr>
      </w:pPr>
      <w:r>
        <w:rPr>
          <w:rFonts w:hint="eastAsia" w:ascii="黑体" w:hAnsi="黑体" w:eastAsia="黑体" w:cs="黑体"/>
        </w:rPr>
        <w:t>第五章  法律责任</w:t>
      </w:r>
    </w:p>
    <w:p>
      <w:pPr>
        <w:snapToGrid w:val="0"/>
        <w:spacing w:line="580" w:lineRule="exact"/>
        <w:ind w:firstLine="640" w:firstLineChars="200"/>
        <w:rPr>
          <w:rFonts w:hint="eastAsia" w:ascii="仿宋_GB2312" w:hAnsi="仿宋" w:cs="仿宋"/>
        </w:rPr>
      </w:pP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第四十六条</w:t>
      </w:r>
      <w:r>
        <w:rPr>
          <w:rFonts w:hint="eastAsia" w:ascii="仿宋_GB2312" w:hAnsi="仿宋_GB2312" w:cs="仿宋_GB2312"/>
        </w:rPr>
        <w:t>  企业、高等院校和科学技术研究开发机构在科技成果转化活动中弄虚作假，采取欺骗手段，骗取奖励和荣誉称号、诈骗钱财、非法牟利的，由有关部门依照管理职责责令改正，取消该奖励和荣誉称号，没收违法所得，并处以违法所得一倍以上三倍以下的罚款;没有违法所得的，处以十万元以下的罚款;构成犯罪的，依法追究刑事责任。</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第四十七条</w:t>
      </w:r>
      <w:r>
        <w:rPr>
          <w:rFonts w:hint="eastAsia" w:ascii="仿宋_GB2312" w:hAnsi="仿宋_GB2312" w:cs="仿宋_GB2312"/>
        </w:rPr>
        <w:t>  高等院校、科学技术研究开发机构及成果研发团队或者完成人违反本条例有关规定，未履行科技报告提交以及科技成果和相关知识产权信息汇交等科技成果转化相关义务的，由主管部门责令改正;拒不改正的，给予通报批评，并记入科研诚信档案;情节严重的，依法给予处分;三年内该单位或者直接责任人员不得申报利用本省财政性资金设立的科技项目。</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第四十八条</w:t>
      </w:r>
      <w:r>
        <w:rPr>
          <w:rFonts w:hint="eastAsia" w:ascii="仿宋_GB2312" w:hAnsi="仿宋_GB2312" w:cs="仿宋_GB2312"/>
        </w:rPr>
        <w:t>  科技中介服务机构及其从业人员故意提供虚假信息、实验结果或者评估意见等欺骗当事人，或者与当事人一方串通欺骗另一方当事人的，由政府有关部门依照管理职责责令改正，没收违法所</w:t>
      </w:r>
      <w:r>
        <w:rPr>
          <w:rFonts w:hint="eastAsia" w:ascii="仿宋_GB2312" w:hAnsi="仿宋_GB2312" w:eastAsia="仿宋_GB2312" w:cs="仿宋_GB2312"/>
        </w:rPr>
        <w:t>得，并处以违法所得一倍以上三倍以下的罚款;没有违法所得的，处以十万元以下的罚款;情节严重的，由市场监督管理部门依法吊销营业执照;构成犯罪的，依法追</w:t>
      </w:r>
      <w:r>
        <w:rPr>
          <w:rFonts w:hint="eastAsia" w:ascii="仿宋_GB2312" w:hAnsi="仿宋_GB2312" w:cs="仿宋_GB2312"/>
        </w:rPr>
        <w:t>究刑事责任。</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第四十九条</w:t>
      </w:r>
      <w:r>
        <w:rPr>
          <w:rFonts w:hint="eastAsia" w:ascii="仿宋_GB2312" w:hAnsi="仿宋_GB2312" w:cs="仿宋_GB2312"/>
        </w:rPr>
        <w:t>  高等院校、科学技术研究开发机构等单位担任行政职务的人员在科技成果转化活动中，滥用职权、徇私舞弊、非法牟利、骗取奖励或者报酬的，由主管部门责令改正，没收违法所得，并依法给予处分;构成犯罪的，依法追究刑事责任。</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第五十条</w:t>
      </w:r>
      <w:r>
        <w:rPr>
          <w:rFonts w:hint="eastAsia" w:ascii="仿宋_GB2312" w:hAnsi="仿宋_GB2312" w:cs="仿宋_GB2312"/>
        </w:rPr>
        <w:t>  科学技术等相关主管部门及其工作人员在科技成果转化活动中滥用职权、玩忽职守、徇私</w:t>
      </w:r>
      <w:r>
        <w:rPr>
          <w:rFonts w:hint="eastAsia" w:ascii="仿宋_GB2312" w:hAnsi="仿宋_GB2312" w:eastAsia="仿宋_GB2312" w:cs="仿宋_GB2312"/>
        </w:rPr>
        <w:t>舞弊的，由有关机关对直接负责的主管人员和其他直接责任人员依法给予处</w:t>
      </w:r>
      <w:r>
        <w:rPr>
          <w:rFonts w:hint="eastAsia" w:ascii="仿宋_GB2312" w:hAnsi="仿宋_GB2312" w:cs="仿宋_GB2312"/>
        </w:rPr>
        <w:t>分;构成犯罪的，依法追究刑事责任。</w:t>
      </w:r>
    </w:p>
    <w:p>
      <w:pPr>
        <w:snapToGrid w:val="0"/>
        <w:spacing w:line="580" w:lineRule="exact"/>
        <w:ind w:firstLine="640" w:firstLineChars="200"/>
        <w:rPr>
          <w:rFonts w:hint="eastAsia" w:ascii="仿宋_GB2312" w:hAnsi="仿宋" w:cs="仿宋"/>
        </w:rPr>
      </w:pPr>
    </w:p>
    <w:p>
      <w:pPr>
        <w:snapToGrid w:val="0"/>
        <w:spacing w:line="580" w:lineRule="exact"/>
        <w:ind w:firstLine="3200" w:firstLineChars="1000"/>
        <w:rPr>
          <w:rFonts w:hint="eastAsia" w:ascii="黑体" w:hAnsi="黑体" w:eastAsia="黑体" w:cs="黑体"/>
        </w:rPr>
      </w:pPr>
      <w:r>
        <w:rPr>
          <w:rFonts w:hint="eastAsia" w:ascii="黑体" w:hAnsi="黑体" w:eastAsia="黑体" w:cs="黑体"/>
        </w:rPr>
        <w:t>第六章  附 则</w:t>
      </w:r>
    </w:p>
    <w:p>
      <w:pPr>
        <w:snapToGrid w:val="0"/>
        <w:spacing w:line="580" w:lineRule="exact"/>
        <w:ind w:firstLine="640" w:firstLineChars="200"/>
        <w:rPr>
          <w:rFonts w:hint="eastAsia" w:ascii="仿宋_GB2312" w:hAnsi="仿宋_GB2312" w:cs="仿宋_GB2312"/>
        </w:rPr>
      </w:pP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第五十一条</w:t>
      </w:r>
      <w:r>
        <w:rPr>
          <w:rFonts w:hint="eastAsia" w:ascii="仿宋_GB2312" w:hAnsi="仿宋_GB2312" w:cs="仿宋_GB2312"/>
        </w:rPr>
        <w:t> 驻粤高等学校、科学技术研究开发机构承担本省财政性资金资助项目开展科技成果转化活动的，参照本条例有关规定执行。</w:t>
      </w:r>
    </w:p>
    <w:p>
      <w:pPr>
        <w:snapToGrid w:val="0"/>
        <w:spacing w:line="580" w:lineRule="exact"/>
        <w:ind w:firstLine="640" w:firstLineChars="200"/>
        <w:rPr>
          <w:rFonts w:hint="eastAsia" w:ascii="仿宋_GB2312" w:hAnsi="仿宋_GB2312" w:cs="仿宋_GB2312"/>
        </w:rPr>
      </w:pPr>
      <w:r>
        <w:rPr>
          <w:rFonts w:hint="eastAsia" w:ascii="黑体" w:hAnsi="黑体" w:eastAsia="黑体" w:cs="黑体"/>
        </w:rPr>
        <w:t>第五十二条</w:t>
      </w:r>
      <w:r>
        <w:rPr>
          <w:rFonts w:hint="eastAsia" w:ascii="仿宋_GB2312" w:hAnsi="仿宋_GB2312" w:cs="仿宋_GB2312"/>
        </w:rPr>
        <w:t> 本条例自</w:t>
      </w:r>
      <w:r>
        <w:rPr>
          <w:rFonts w:hint="eastAsia" w:ascii="仿宋_GB2312"/>
        </w:rPr>
        <w:t>2017</w:t>
      </w:r>
      <w:r>
        <w:rPr>
          <w:rFonts w:hint="eastAsia" w:ascii="仿宋_GB2312" w:hAnsi="仿宋_GB2312" w:cs="仿宋_GB2312"/>
        </w:rPr>
        <w:t>年</w:t>
      </w:r>
      <w:r>
        <w:rPr>
          <w:rFonts w:hint="eastAsia" w:ascii="仿宋_GB2312"/>
        </w:rPr>
        <w:t>3</w:t>
      </w:r>
      <w:r>
        <w:rPr>
          <w:rFonts w:hint="eastAsia" w:ascii="仿宋_GB2312" w:hAnsi="仿宋_GB2312" w:cs="仿宋_GB2312"/>
        </w:rPr>
        <w:t>月</w:t>
      </w:r>
      <w:r>
        <w:rPr>
          <w:rFonts w:hint="eastAsia" w:ascii="仿宋_GB2312"/>
        </w:rPr>
        <w:t>1</w:t>
      </w:r>
      <w:r>
        <w:rPr>
          <w:rFonts w:hint="eastAsia" w:ascii="仿宋_GB2312" w:hAnsi="仿宋_GB2312" w:cs="仿宋_GB2312"/>
        </w:rPr>
        <w:t>日起施行。</w:t>
      </w:r>
    </w:p>
    <w:p>
      <w:pPr>
        <w:snapToGrid w:val="0"/>
        <w:spacing w:line="580" w:lineRule="exact"/>
        <w:ind w:firstLine="640" w:firstLineChars="200"/>
        <w:rPr>
          <w:rFonts w:hint="eastAsia" w:ascii="仿宋_GB2312" w:hAnsi="仿宋" w:cs="仿宋"/>
        </w:rPr>
      </w:pPr>
    </w:p>
    <w:p>
      <w:pPr>
        <w:snapToGrid w:val="0"/>
        <w:spacing w:line="590" w:lineRule="exact"/>
        <w:rPr>
          <w:rFonts w:hint="eastAsia" w:ascii="仿宋_GB2312" w:hAnsi="仿宋_GB2312" w:cs="仿宋_GB2312"/>
        </w:rPr>
      </w:pPr>
    </w:p>
    <w:p>
      <w:pPr>
        <w:snapToGrid w:val="0"/>
        <w:spacing w:line="590" w:lineRule="exact"/>
        <w:ind w:firstLine="640" w:firstLineChars="200"/>
        <w:rPr>
          <w:rFonts w:hint="eastAsia" w:ascii="仿宋_GB2312" w:hAnsi="仿宋_GB2312" w:cs="仿宋_GB2312"/>
        </w:rPr>
      </w:pPr>
    </w:p>
    <w:p>
      <w:pPr>
        <w:widowControl/>
        <w:snapToGrid w:val="0"/>
        <w:spacing w:line="346" w:lineRule="auto"/>
        <w:jc w:val="left"/>
        <w:rPr>
          <w:rFonts w:hint="eastAsia" w:ascii="仿宋_GB2312" w:hAnsi="仿宋_GB2312" w:cs="仿宋_GB2312"/>
        </w:rPr>
      </w:pPr>
    </w:p>
    <w:p>
      <w:pPr>
        <w:snapToGrid w:val="0"/>
        <w:spacing w:line="346" w:lineRule="auto"/>
        <w:rPr>
          <w:rFonts w:hint="eastAsia" w:ascii="仿宋_GB2312" w:hAnsi="仿宋" w:cs="仿宋"/>
        </w:rPr>
      </w:pPr>
    </w:p>
    <w:p>
      <w:pPr>
        <w:widowControl/>
        <w:shd w:val="clear" w:color="auto" w:fill="FFFFFF"/>
        <w:spacing w:line="590" w:lineRule="exact"/>
        <w:rPr>
          <w:rFonts w:ascii="宋体" w:hAnsi="宋体"/>
        </w:rPr>
      </w:pPr>
    </w:p>
    <w:p>
      <w:pPr>
        <w:spacing w:line="590" w:lineRule="exact"/>
        <w:rPr>
          <w:rFonts w:ascii="宋体" w:hAnsi="宋体"/>
        </w:rPr>
      </w:pPr>
    </w:p>
    <w:sectPr>
      <w:footerReference r:id="rId3" w:type="default"/>
      <w:pgSz w:w="11906" w:h="16838"/>
      <w:pgMar w:top="2098" w:right="1531" w:bottom="198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-381000</wp:posOffset>
              </wp:positionV>
              <wp:extent cx="120713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7135" cy="230505"/>
                      </a:xfrm>
                      <a:prstGeom prst="rect">
                        <a:avLst/>
                      </a:prstGeom>
                      <a:noFill/>
                      <a:ln w="9525">
                        <a:noFill/>
                      </a:ln>
                    </wps:spPr>
                    <wps:txbx>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30pt;height:18.15pt;width:95.05pt;mso-position-horizontal:outside;mso-position-horizontal-relative:margin;mso-wrap-style:none;z-index:251658240;mso-width-relative:page;mso-height-relative:page;" filled="f" stroked="f" coordsize="21600,21600" o:gfxdata="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oUWsdUAAAAIAQAADwAAAAAAAAABACAAAAAiAAAAZHJzL2Rvd25yZXYueG1sUEsBAhQA&#10;FAAAAAgAh07iQJtsuda8AQAAUwMAAA4AAAAAAAAAAQAgAAAAJAEAAGRycy9lMm9Eb2MueG1sUEsF&#10;BgAAAAAGAAYAWQEAAFIFAAAAAA==&#10;">
              <v:fill on="f" focussize="0,0"/>
              <v:stroke on="f"/>
              <v:imagedata o:title=""/>
              <o:lock v:ext="edit" aspectratio="f"/>
              <v:textbox inset="0mm,0mm,0mm,0mm" style="mso-fit-shape-to-text:t;">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36F7E"/>
    <w:multiLevelType w:val="singleLevel"/>
    <w:tmpl w:val="5DC36F7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05222"/>
    <w:rsid w:val="00265292"/>
    <w:rsid w:val="00326B8C"/>
    <w:rsid w:val="00C77F59"/>
    <w:rsid w:val="01F37026"/>
    <w:rsid w:val="03C56AA6"/>
    <w:rsid w:val="03F3653D"/>
    <w:rsid w:val="0429786E"/>
    <w:rsid w:val="0466563F"/>
    <w:rsid w:val="04BF641F"/>
    <w:rsid w:val="04CC1612"/>
    <w:rsid w:val="050A52DF"/>
    <w:rsid w:val="051C50AB"/>
    <w:rsid w:val="054C5285"/>
    <w:rsid w:val="05A66C75"/>
    <w:rsid w:val="06F50211"/>
    <w:rsid w:val="07161719"/>
    <w:rsid w:val="078F7C35"/>
    <w:rsid w:val="07CA53A2"/>
    <w:rsid w:val="09C27514"/>
    <w:rsid w:val="0AB410EE"/>
    <w:rsid w:val="0AEE208B"/>
    <w:rsid w:val="0B555AC3"/>
    <w:rsid w:val="0B5F159F"/>
    <w:rsid w:val="0BDC52D2"/>
    <w:rsid w:val="0C36691B"/>
    <w:rsid w:val="0C693719"/>
    <w:rsid w:val="0CD90D7B"/>
    <w:rsid w:val="0D313C4E"/>
    <w:rsid w:val="0D3931C5"/>
    <w:rsid w:val="0D777E53"/>
    <w:rsid w:val="0D8A0819"/>
    <w:rsid w:val="0D923DE5"/>
    <w:rsid w:val="0DA43EFD"/>
    <w:rsid w:val="0E1C464B"/>
    <w:rsid w:val="0F197321"/>
    <w:rsid w:val="11D05DBB"/>
    <w:rsid w:val="121A01B7"/>
    <w:rsid w:val="13907405"/>
    <w:rsid w:val="14114185"/>
    <w:rsid w:val="14387F33"/>
    <w:rsid w:val="143E214C"/>
    <w:rsid w:val="1455306A"/>
    <w:rsid w:val="14A10634"/>
    <w:rsid w:val="15E1145D"/>
    <w:rsid w:val="161D3A97"/>
    <w:rsid w:val="16486A8C"/>
    <w:rsid w:val="165A14BA"/>
    <w:rsid w:val="167F66D9"/>
    <w:rsid w:val="17615DB9"/>
    <w:rsid w:val="178655D2"/>
    <w:rsid w:val="184A4CA8"/>
    <w:rsid w:val="187D78FF"/>
    <w:rsid w:val="1A334858"/>
    <w:rsid w:val="1ACA23DA"/>
    <w:rsid w:val="1B7C3552"/>
    <w:rsid w:val="1BB93C46"/>
    <w:rsid w:val="1BC63A19"/>
    <w:rsid w:val="1C880839"/>
    <w:rsid w:val="1D3235F0"/>
    <w:rsid w:val="1DEF24D5"/>
    <w:rsid w:val="1E8B534B"/>
    <w:rsid w:val="1EC924F3"/>
    <w:rsid w:val="1F054BF9"/>
    <w:rsid w:val="1FB80DF1"/>
    <w:rsid w:val="20BD5512"/>
    <w:rsid w:val="216064CC"/>
    <w:rsid w:val="21821DF1"/>
    <w:rsid w:val="22741DD9"/>
    <w:rsid w:val="2294776D"/>
    <w:rsid w:val="22B15C0F"/>
    <w:rsid w:val="22B47806"/>
    <w:rsid w:val="22DF6DDE"/>
    <w:rsid w:val="23351811"/>
    <w:rsid w:val="2348314D"/>
    <w:rsid w:val="23841ED2"/>
    <w:rsid w:val="23B30819"/>
    <w:rsid w:val="23E736CF"/>
    <w:rsid w:val="2446385A"/>
    <w:rsid w:val="244D1E56"/>
    <w:rsid w:val="24B01B78"/>
    <w:rsid w:val="24B45291"/>
    <w:rsid w:val="24B61C4E"/>
    <w:rsid w:val="25010155"/>
    <w:rsid w:val="25146604"/>
    <w:rsid w:val="25261028"/>
    <w:rsid w:val="25442E4F"/>
    <w:rsid w:val="25AE2FA7"/>
    <w:rsid w:val="25B66EE4"/>
    <w:rsid w:val="25E7600C"/>
    <w:rsid w:val="25FE6CE8"/>
    <w:rsid w:val="26146A75"/>
    <w:rsid w:val="267E648F"/>
    <w:rsid w:val="269E682B"/>
    <w:rsid w:val="26AF4EB6"/>
    <w:rsid w:val="275A6BB9"/>
    <w:rsid w:val="27C257BF"/>
    <w:rsid w:val="28A30F71"/>
    <w:rsid w:val="294760A1"/>
    <w:rsid w:val="299B5639"/>
    <w:rsid w:val="29DA4186"/>
    <w:rsid w:val="29DB4305"/>
    <w:rsid w:val="2A084737"/>
    <w:rsid w:val="2A850B7D"/>
    <w:rsid w:val="2B237CDD"/>
    <w:rsid w:val="2B5A6072"/>
    <w:rsid w:val="2DCC6BC6"/>
    <w:rsid w:val="2DCD6427"/>
    <w:rsid w:val="2DD37D75"/>
    <w:rsid w:val="2E2B20C3"/>
    <w:rsid w:val="2E9D6428"/>
    <w:rsid w:val="2EE9370C"/>
    <w:rsid w:val="300409D8"/>
    <w:rsid w:val="304939C3"/>
    <w:rsid w:val="31014435"/>
    <w:rsid w:val="31162F23"/>
    <w:rsid w:val="315065F6"/>
    <w:rsid w:val="31EF564C"/>
    <w:rsid w:val="321F0B24"/>
    <w:rsid w:val="32594016"/>
    <w:rsid w:val="3440120D"/>
    <w:rsid w:val="35521D0D"/>
    <w:rsid w:val="38701391"/>
    <w:rsid w:val="388518D8"/>
    <w:rsid w:val="389B589C"/>
    <w:rsid w:val="38C62597"/>
    <w:rsid w:val="391936AE"/>
    <w:rsid w:val="393605D4"/>
    <w:rsid w:val="394808AB"/>
    <w:rsid w:val="3ABE11B0"/>
    <w:rsid w:val="3B062787"/>
    <w:rsid w:val="3BD00E38"/>
    <w:rsid w:val="3BD31670"/>
    <w:rsid w:val="3C735C20"/>
    <w:rsid w:val="3CB43E4A"/>
    <w:rsid w:val="3CBD4B63"/>
    <w:rsid w:val="3CEF1FE4"/>
    <w:rsid w:val="3EC0193D"/>
    <w:rsid w:val="3EE37BBB"/>
    <w:rsid w:val="3F611986"/>
    <w:rsid w:val="3FC372B4"/>
    <w:rsid w:val="40140F13"/>
    <w:rsid w:val="40BC74F5"/>
    <w:rsid w:val="40C71AE1"/>
    <w:rsid w:val="40D37968"/>
    <w:rsid w:val="412102AE"/>
    <w:rsid w:val="413E6760"/>
    <w:rsid w:val="427B179E"/>
    <w:rsid w:val="43235E0F"/>
    <w:rsid w:val="443E0C5C"/>
    <w:rsid w:val="44454E0A"/>
    <w:rsid w:val="455A7CD4"/>
    <w:rsid w:val="46332B13"/>
    <w:rsid w:val="46946832"/>
    <w:rsid w:val="47196BDC"/>
    <w:rsid w:val="47237708"/>
    <w:rsid w:val="47C034F0"/>
    <w:rsid w:val="48A54062"/>
    <w:rsid w:val="48C82C2E"/>
    <w:rsid w:val="48DC3565"/>
    <w:rsid w:val="48F97531"/>
    <w:rsid w:val="490D13F7"/>
    <w:rsid w:val="49313DD4"/>
    <w:rsid w:val="495022AD"/>
    <w:rsid w:val="498017C2"/>
    <w:rsid w:val="4A147501"/>
    <w:rsid w:val="4AA0454A"/>
    <w:rsid w:val="4B33228C"/>
    <w:rsid w:val="4D1468A3"/>
    <w:rsid w:val="4E256B55"/>
    <w:rsid w:val="4E554A23"/>
    <w:rsid w:val="4EC36D9C"/>
    <w:rsid w:val="4FB55E65"/>
    <w:rsid w:val="4FE30E53"/>
    <w:rsid w:val="4FF15477"/>
    <w:rsid w:val="50E50A44"/>
    <w:rsid w:val="51346F92"/>
    <w:rsid w:val="513E5337"/>
    <w:rsid w:val="51C12DA5"/>
    <w:rsid w:val="51D10883"/>
    <w:rsid w:val="51F3348E"/>
    <w:rsid w:val="526F39F0"/>
    <w:rsid w:val="527C58AE"/>
    <w:rsid w:val="52B9323A"/>
    <w:rsid w:val="530B2170"/>
    <w:rsid w:val="53615012"/>
    <w:rsid w:val="546113BC"/>
    <w:rsid w:val="54F904BC"/>
    <w:rsid w:val="57E93D10"/>
    <w:rsid w:val="57EA54FF"/>
    <w:rsid w:val="57F94BA7"/>
    <w:rsid w:val="58505222"/>
    <w:rsid w:val="58E01428"/>
    <w:rsid w:val="59190582"/>
    <w:rsid w:val="59C42CA2"/>
    <w:rsid w:val="59FF0B8C"/>
    <w:rsid w:val="5AE341AD"/>
    <w:rsid w:val="5AF1474D"/>
    <w:rsid w:val="5B47703B"/>
    <w:rsid w:val="5BA175FB"/>
    <w:rsid w:val="5C5073F5"/>
    <w:rsid w:val="5D302FE7"/>
    <w:rsid w:val="5DA871EA"/>
    <w:rsid w:val="5E5C6327"/>
    <w:rsid w:val="5ED57F31"/>
    <w:rsid w:val="5EE728D8"/>
    <w:rsid w:val="5F150DB0"/>
    <w:rsid w:val="5F8473B7"/>
    <w:rsid w:val="600743A3"/>
    <w:rsid w:val="601A286E"/>
    <w:rsid w:val="608B0237"/>
    <w:rsid w:val="608E365E"/>
    <w:rsid w:val="60D35564"/>
    <w:rsid w:val="61231C27"/>
    <w:rsid w:val="614645D6"/>
    <w:rsid w:val="62322B14"/>
    <w:rsid w:val="62372AC9"/>
    <w:rsid w:val="62720F28"/>
    <w:rsid w:val="63056166"/>
    <w:rsid w:val="634B42BE"/>
    <w:rsid w:val="634F62ED"/>
    <w:rsid w:val="6378679A"/>
    <w:rsid w:val="63B561E9"/>
    <w:rsid w:val="63E83FC6"/>
    <w:rsid w:val="650542C5"/>
    <w:rsid w:val="66024213"/>
    <w:rsid w:val="668E2E8D"/>
    <w:rsid w:val="67084FB1"/>
    <w:rsid w:val="67682BC9"/>
    <w:rsid w:val="68486933"/>
    <w:rsid w:val="68815C49"/>
    <w:rsid w:val="69D9473E"/>
    <w:rsid w:val="69E5446F"/>
    <w:rsid w:val="6A835EB1"/>
    <w:rsid w:val="6B32007A"/>
    <w:rsid w:val="6B4878BC"/>
    <w:rsid w:val="6B8A0A1C"/>
    <w:rsid w:val="6BAA6644"/>
    <w:rsid w:val="6CA74C12"/>
    <w:rsid w:val="6CC833BD"/>
    <w:rsid w:val="6D5426D7"/>
    <w:rsid w:val="6D9C4E43"/>
    <w:rsid w:val="6DB721B1"/>
    <w:rsid w:val="6E3F4815"/>
    <w:rsid w:val="6EF33F86"/>
    <w:rsid w:val="6F7C3548"/>
    <w:rsid w:val="6F7D2BEA"/>
    <w:rsid w:val="70757E0F"/>
    <w:rsid w:val="712649F7"/>
    <w:rsid w:val="716F2CED"/>
    <w:rsid w:val="722A1046"/>
    <w:rsid w:val="731B47A0"/>
    <w:rsid w:val="73493A34"/>
    <w:rsid w:val="73884188"/>
    <w:rsid w:val="73DB0C71"/>
    <w:rsid w:val="74E56BE7"/>
    <w:rsid w:val="75035BF5"/>
    <w:rsid w:val="751E6F2E"/>
    <w:rsid w:val="755D0173"/>
    <w:rsid w:val="7566222A"/>
    <w:rsid w:val="76B546F9"/>
    <w:rsid w:val="76FF703E"/>
    <w:rsid w:val="77ED678E"/>
    <w:rsid w:val="77EF7683"/>
    <w:rsid w:val="795B7036"/>
    <w:rsid w:val="79C0047E"/>
    <w:rsid w:val="7A072DF2"/>
    <w:rsid w:val="7C1D3396"/>
    <w:rsid w:val="7C1E5128"/>
    <w:rsid w:val="7C5D5669"/>
    <w:rsid w:val="7E023C92"/>
    <w:rsid w:val="7E31187B"/>
    <w:rsid w:val="7E9B0780"/>
    <w:rsid w:val="7F2F5A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8">
    <w:name w:val="Default Paragraph Font"/>
    <w:link w:val="9"/>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Body Text Indent"/>
    <w:basedOn w:val="1"/>
    <w:uiPriority w:val="0"/>
    <w:pPr>
      <w:ind w:firstLine="645"/>
    </w:pPr>
    <w:rPr>
      <w:rFonts w:ascii="黑体" w:eastAsia="黑体"/>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9">
    <w:name w:val=" Char Char Char Char Char Char"/>
    <w:basedOn w:val="1"/>
    <w:link w:val="8"/>
    <w:uiPriority w:val="0"/>
  </w:style>
  <w:style w:type="character" w:styleId="10">
    <w:name w:val="Strong"/>
    <w:basedOn w:val="8"/>
    <w:qFormat/>
    <w:uiPriority w:val="0"/>
    <w:rPr>
      <w:b/>
    </w:rPr>
  </w:style>
  <w:style w:type="character" w:styleId="11">
    <w:name w:val="Hyperlink"/>
    <w:basedOn w:val="8"/>
    <w:uiPriority w:val="0"/>
    <w:rPr>
      <w:rFonts w:hint="eastAsia" w:ascii="宋体" w:hAnsi="宋体" w:eastAsia="宋体" w:cs="宋体"/>
      <w:color w:val="000000"/>
      <w:sz w:val="14"/>
      <w:szCs w:val="14"/>
      <w:u w:val="none"/>
    </w:rPr>
  </w:style>
  <w:style w:type="paragraph" w:customStyle="1" w:styleId="13">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6">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正文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character" w:customStyle="1" w:styleId="21">
    <w:name w:val="font_fulltext1"/>
    <w:basedOn w:val="8"/>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省人大常委会办公厅</Company>
  <Pages>259</Pages>
  <Words>18109</Words>
  <Characters>103222</Characters>
  <Lines>860</Lines>
  <Paragraphs>242</Paragraphs>
  <TotalTime>0</TotalTime>
  <ScaleCrop>false</ScaleCrop>
  <LinksUpToDate>false</LinksUpToDate>
  <CharactersWithSpaces>121089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2019-11-22T09:32:00Z</dcterms:created>
  <dc:creator>王光玲</dc:creator>
  <cp:lastModifiedBy>黎耀兰</cp:lastModifiedBy>
  <cp:lastPrinted>2019-11-22T02:12:00Z</cp:lastPrinted>
  <dcterms:modified xsi:type="dcterms:W3CDTF">2019-12-19T03:50:13Z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