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rPr>
      </w:pPr>
    </w:p>
    <w:p>
      <w:pPr>
        <w:pStyle w:val="3"/>
        <w:keepNext w:val="0"/>
        <w:keepLines w:val="0"/>
        <w:pageBreakBefore w:val="0"/>
        <w:widowControl w:val="0"/>
        <w:kinsoku/>
        <w:overflowPunct w:val="0"/>
        <w:topLinePunct w:val="0"/>
        <w:autoSpaceDE/>
        <w:autoSpaceDN/>
        <w:bidi w:val="0"/>
        <w:spacing w:line="590" w:lineRule="exact"/>
        <w:jc w:val="center"/>
        <w:textAlignment w:val="auto"/>
        <w:rPr>
          <w:rFonts w:ascii="宋体" w:hAnsi="宋体" w:eastAsia="方正小标宋简体"/>
          <w:b w:val="0"/>
          <w:color w:val="auto"/>
          <w:sz w:val="32"/>
        </w:rPr>
      </w:pPr>
    </w:p>
    <w:p>
      <w:pPr>
        <w:pStyle w:val="3"/>
        <w:keepNext w:val="0"/>
        <w:keepLines w:val="0"/>
        <w:pageBreakBefore w:val="0"/>
        <w:widowControl w:val="0"/>
        <w:kinsoku/>
        <w:overflowPunct w:val="0"/>
        <w:topLinePunct w:val="0"/>
        <w:autoSpaceDE/>
        <w:autoSpaceDN/>
        <w:bidi w:val="0"/>
        <w:spacing w:line="590" w:lineRule="exact"/>
        <w:jc w:val="center"/>
        <w:textAlignment w:val="auto"/>
        <w:rPr>
          <w:rFonts w:hint="eastAsia" w:ascii="宋体" w:hAnsi="宋体" w:eastAsia="宋体" w:cs="宋体"/>
          <w:b w:val="0"/>
          <w:color w:val="auto"/>
        </w:rPr>
      </w:pPr>
      <w:r>
        <w:rPr>
          <w:rFonts w:hint="eastAsia" w:ascii="宋体" w:hAnsi="宋体" w:eastAsia="宋体" w:cs="宋体"/>
          <w:b w:val="0"/>
          <w:color w:val="auto"/>
        </w:rPr>
        <w:t>广东省革命遗址保护条例</w:t>
      </w:r>
    </w:p>
    <w:p>
      <w:pPr>
        <w:keepNext w:val="0"/>
        <w:keepLines w:val="0"/>
        <w:pageBreakBefore w:val="0"/>
        <w:widowControl w:val="0"/>
        <w:kinsoku/>
        <w:topLinePunct w:val="0"/>
        <w:autoSpaceDE/>
        <w:autoSpaceDN/>
        <w:bidi w:val="0"/>
        <w:spacing w:line="590" w:lineRule="exact"/>
        <w:textAlignment w:val="auto"/>
        <w:rPr>
          <w:rFonts w:ascii="宋体" w:hAnsi="宋体"/>
        </w:rPr>
      </w:pPr>
    </w:p>
    <w:p>
      <w:pPr>
        <w:pStyle w:val="8"/>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632" w:firstLineChars="200"/>
        <w:jc w:val="both"/>
        <w:textAlignment w:val="auto"/>
        <w:outlineLvl w:val="9"/>
        <w:rPr>
          <w:rFonts w:hint="eastAsia" w:ascii="宋体" w:hAnsi="宋体" w:eastAsia="楷体_GB2312" w:cs="楷体_GB2312"/>
          <w:b w:val="0"/>
          <w:bCs/>
          <w:color w:val="000000" w:themeColor="text1"/>
          <w:szCs w:val="32"/>
          <w14:textFill>
            <w14:solidFill>
              <w14:schemeClr w14:val="tx1"/>
            </w14:solidFill>
          </w14:textFill>
        </w:rPr>
      </w:pPr>
      <w:r>
        <w:rPr>
          <w:rFonts w:hint="eastAsia" w:ascii="宋体" w:hAnsi="宋体" w:eastAsia="楷体_GB2312" w:cs="楷体_GB2312"/>
          <w:b w:val="0"/>
          <w:bCs/>
          <w:color w:val="000000" w:themeColor="text1"/>
          <w:szCs w:val="32"/>
          <w14:textFill>
            <w14:solidFill>
              <w14:schemeClr w14:val="tx1"/>
            </w14:solidFill>
          </w14:textFill>
        </w:rPr>
        <w:t>（</w:t>
      </w:r>
      <w:r>
        <w:rPr>
          <w:rFonts w:hint="eastAsia" w:ascii="宋体" w:hAnsi="宋体" w:eastAsia="楷体_GB2312" w:cs="楷体_GB2312"/>
          <w:b w:val="0"/>
          <w:bCs w:val="0"/>
          <w:color w:val="000000" w:themeColor="text1"/>
          <w:sz w:val="32"/>
          <w:lang w:val="en-US" w:eastAsia="zh-CN"/>
          <w14:textFill>
            <w14:solidFill>
              <w14:schemeClr w14:val="tx1"/>
            </w14:solidFill>
          </w14:textFill>
        </w:rPr>
        <w:t>2</w:t>
      </w:r>
      <w:r>
        <w:rPr>
          <w:rFonts w:hint="eastAsia" w:ascii="宋体" w:hAnsi="宋体" w:eastAsia="楷体_GB2312" w:cs="楷体_GB2312"/>
          <w:color w:val="000000" w:themeColor="text1"/>
          <w:sz w:val="32"/>
          <w:lang w:val="en-US" w:eastAsia="zh-CN"/>
          <w14:textFill>
            <w14:solidFill>
              <w14:schemeClr w14:val="tx1"/>
            </w14:solidFill>
          </w14:textFill>
        </w:rPr>
        <w:t>022年1月16日广东省第十三届人民代表大会常务委员会第三十九次会议通过</w:t>
      </w:r>
      <w:r>
        <w:rPr>
          <w:rFonts w:hint="eastAsia" w:ascii="宋体" w:hAnsi="宋体" w:eastAsia="楷体_GB2312" w:cs="楷体_GB2312"/>
          <w:b w:val="0"/>
          <w:bCs/>
          <w:color w:val="000000" w:themeColor="text1"/>
          <w:szCs w:val="32"/>
          <w14:textFill>
            <w14:solidFill>
              <w14:schemeClr w14:val="tx1"/>
            </w14:solidFill>
          </w14:textFill>
        </w:rPr>
        <w:t>）</w:t>
      </w:r>
    </w:p>
    <w:p>
      <w:pPr>
        <w:pStyle w:val="3"/>
        <w:keepNext w:val="0"/>
        <w:keepLines w:val="0"/>
        <w:pageBreakBefore w:val="0"/>
        <w:widowControl w:val="0"/>
        <w:kinsoku/>
        <w:overflowPunct w:val="0"/>
        <w:topLinePunct w:val="0"/>
        <w:autoSpaceDE/>
        <w:autoSpaceDN/>
        <w:bidi w:val="0"/>
        <w:spacing w:line="590" w:lineRule="exact"/>
        <w:jc w:val="center"/>
        <w:textAlignment w:val="auto"/>
        <w:rPr>
          <w:rFonts w:hint="eastAsia" w:ascii="宋体" w:hAnsi="宋体" w:eastAsia="宋体" w:cs="宋体"/>
          <w:b w:val="0"/>
          <w:color w:val="auto"/>
          <w:sz w:val="32"/>
          <w:szCs w:val="32"/>
        </w:rPr>
      </w:pPr>
    </w:p>
    <w:p>
      <w:pPr>
        <w:pageBreakBefore w:val="0"/>
        <w:widowControl w:val="0"/>
        <w:kinsoku/>
        <w:topLinePunct w:val="0"/>
        <w:autoSpaceDN/>
        <w:bidi w:val="0"/>
        <w:spacing w:line="590" w:lineRule="exact"/>
        <w:jc w:val="center"/>
        <w:textAlignment w:val="auto"/>
        <w:rPr>
          <w:rFonts w:hint="eastAsia" w:ascii="宋体" w:hAnsi="宋体" w:eastAsia="楷体_GB2312"/>
          <w:b w:val="0"/>
          <w:color w:val="auto"/>
          <w:sz w:val="32"/>
          <w:szCs w:val="32"/>
          <w:lang w:eastAsia="zh-CN"/>
        </w:rPr>
      </w:pPr>
      <w:r>
        <w:rPr>
          <w:rFonts w:hint="eastAsia" w:ascii="宋体" w:hAnsi="宋体" w:eastAsia="楷体_GB2312"/>
          <w:b w:val="0"/>
          <w:color w:val="auto"/>
          <w:sz w:val="32"/>
          <w:szCs w:val="32"/>
          <w:lang w:eastAsia="zh-CN"/>
        </w:rPr>
        <w:t>目</w:t>
      </w:r>
      <w:r>
        <w:rPr>
          <w:rFonts w:hint="eastAsia" w:ascii="宋体" w:hAnsi="宋体" w:eastAsia="楷体_GB2312"/>
          <w:b w:val="0"/>
          <w:color w:val="auto"/>
          <w:sz w:val="32"/>
          <w:szCs w:val="32"/>
          <w:lang w:val="en-US" w:eastAsia="zh-CN"/>
        </w:rPr>
        <w:t xml:space="preserve">    </w:t>
      </w:r>
      <w:r>
        <w:rPr>
          <w:rFonts w:hint="eastAsia" w:ascii="宋体" w:hAnsi="宋体" w:eastAsia="楷体_GB2312"/>
          <w:b w:val="0"/>
          <w:color w:val="auto"/>
          <w:sz w:val="32"/>
          <w:szCs w:val="32"/>
          <w:lang w:eastAsia="zh-CN"/>
        </w:rPr>
        <w:t>录</w:t>
      </w:r>
    </w:p>
    <w:p>
      <w:pPr>
        <w:pStyle w:val="7"/>
        <w:pageBreakBefore w:val="0"/>
        <w:widowControl w:val="0"/>
        <w:kinsoku/>
        <w:topLinePunct w:val="0"/>
        <w:autoSpaceDN/>
        <w:bidi w:val="0"/>
        <w:spacing w:line="590" w:lineRule="exact"/>
        <w:ind w:firstLine="632"/>
        <w:textAlignment w:val="auto"/>
        <w:rPr>
          <w:rFonts w:hint="eastAsia" w:ascii="宋体" w:hAnsi="宋体" w:eastAsia="楷体_GB2312" w:cs="楷体_GB2312"/>
          <w:b w:val="0"/>
          <w:color w:val="auto"/>
          <w:sz w:val="32"/>
          <w:szCs w:val="32"/>
        </w:rPr>
      </w:pPr>
      <w:r>
        <w:rPr>
          <w:rFonts w:hint="eastAsia" w:ascii="宋体" w:hAnsi="宋体" w:eastAsia="楷体_GB2312" w:cs="楷体_GB2312"/>
          <w:color w:val="auto"/>
          <w:sz w:val="32"/>
          <w:szCs w:val="32"/>
        </w:rPr>
        <w:t>第一章  总则</w:t>
      </w:r>
    </w:p>
    <w:p>
      <w:pPr>
        <w:keepNext w:val="0"/>
        <w:keepLines w:val="0"/>
        <w:pageBreakBefore w:val="0"/>
        <w:widowControl w:val="0"/>
        <w:kinsoku/>
        <w:overflowPunct w:val="0"/>
        <w:topLinePunct w:val="0"/>
        <w:autoSpaceDE/>
        <w:autoSpaceDN/>
        <w:bidi w:val="0"/>
        <w:spacing w:line="590" w:lineRule="exact"/>
        <w:ind w:firstLine="632" w:firstLineChars="200"/>
        <w:jc w:val="both"/>
        <w:textAlignment w:val="auto"/>
        <w:rPr>
          <w:rFonts w:hint="eastAsia" w:ascii="宋体" w:hAnsi="宋体" w:eastAsia="楷体_GB2312" w:cs="楷体_GB2312"/>
          <w:color w:val="auto"/>
          <w:sz w:val="32"/>
          <w:szCs w:val="32"/>
        </w:rPr>
      </w:pPr>
      <w:r>
        <w:rPr>
          <w:rFonts w:hint="eastAsia" w:ascii="宋体" w:hAnsi="宋体" w:eastAsia="楷体_GB2312" w:cs="楷体_GB2312"/>
          <w:color w:val="auto"/>
          <w:sz w:val="32"/>
          <w:szCs w:val="32"/>
        </w:rPr>
        <w:t>第二章  保护管理</w:t>
      </w:r>
    </w:p>
    <w:p>
      <w:pPr>
        <w:pageBreakBefore w:val="0"/>
        <w:widowControl w:val="0"/>
        <w:kinsoku/>
        <w:topLinePunct w:val="0"/>
        <w:autoSpaceDN/>
        <w:bidi w:val="0"/>
        <w:spacing w:line="590" w:lineRule="exact"/>
        <w:ind w:firstLine="632" w:firstLineChars="200"/>
        <w:textAlignment w:val="auto"/>
        <w:rPr>
          <w:rFonts w:hint="eastAsia" w:ascii="宋体" w:hAnsi="宋体" w:eastAsia="楷体_GB2312" w:cs="楷体_GB2312"/>
          <w:b w:val="0"/>
          <w:color w:val="auto"/>
          <w:sz w:val="32"/>
          <w:szCs w:val="32"/>
        </w:rPr>
      </w:pPr>
      <w:r>
        <w:rPr>
          <w:rFonts w:hint="eastAsia" w:ascii="宋体" w:hAnsi="宋体" w:eastAsia="楷体_GB2312" w:cs="楷体_GB2312"/>
          <w:color w:val="auto"/>
          <w:sz w:val="32"/>
          <w:szCs w:val="32"/>
        </w:rPr>
        <w:t>第三章  合理利用</w:t>
      </w:r>
    </w:p>
    <w:p>
      <w:pPr>
        <w:keepNext w:val="0"/>
        <w:keepLines w:val="0"/>
        <w:pageBreakBefore w:val="0"/>
        <w:widowControl w:val="0"/>
        <w:kinsoku/>
        <w:overflowPunct w:val="0"/>
        <w:topLinePunct w:val="0"/>
        <w:autoSpaceDE/>
        <w:autoSpaceDN/>
        <w:bidi w:val="0"/>
        <w:spacing w:line="590" w:lineRule="exact"/>
        <w:ind w:firstLine="632" w:firstLineChars="200"/>
        <w:jc w:val="both"/>
        <w:textAlignment w:val="auto"/>
        <w:rPr>
          <w:rFonts w:hint="eastAsia" w:ascii="宋体" w:hAnsi="宋体" w:eastAsia="楷体_GB2312" w:cs="楷体_GB2312"/>
          <w:color w:val="auto"/>
          <w:sz w:val="32"/>
          <w:szCs w:val="32"/>
        </w:rPr>
      </w:pPr>
      <w:r>
        <w:rPr>
          <w:rFonts w:hint="eastAsia" w:ascii="宋体" w:hAnsi="宋体" w:eastAsia="楷体_GB2312" w:cs="楷体_GB2312"/>
          <w:color w:val="auto"/>
          <w:sz w:val="32"/>
          <w:szCs w:val="32"/>
        </w:rPr>
        <w:t>第四章  法律责任</w:t>
      </w:r>
    </w:p>
    <w:p>
      <w:pPr>
        <w:keepNext w:val="0"/>
        <w:keepLines w:val="0"/>
        <w:pageBreakBefore w:val="0"/>
        <w:widowControl w:val="0"/>
        <w:kinsoku/>
        <w:overflowPunct w:val="0"/>
        <w:topLinePunct w:val="0"/>
        <w:autoSpaceDE/>
        <w:autoSpaceDN/>
        <w:bidi w:val="0"/>
        <w:spacing w:line="590" w:lineRule="exact"/>
        <w:ind w:firstLine="632" w:firstLineChars="200"/>
        <w:jc w:val="both"/>
        <w:textAlignment w:val="auto"/>
        <w:rPr>
          <w:rFonts w:hint="eastAsia" w:ascii="宋体" w:hAnsi="宋体" w:eastAsia="楷体_GB2312" w:cs="楷体_GB2312"/>
          <w:color w:val="auto"/>
          <w:sz w:val="32"/>
          <w:szCs w:val="32"/>
        </w:rPr>
      </w:pPr>
      <w:r>
        <w:rPr>
          <w:rFonts w:hint="eastAsia" w:ascii="宋体" w:hAnsi="宋体" w:eastAsia="楷体_GB2312" w:cs="楷体_GB2312"/>
          <w:color w:val="auto"/>
          <w:sz w:val="32"/>
          <w:szCs w:val="32"/>
        </w:rPr>
        <w:t>第五章  附则</w:t>
      </w:r>
    </w:p>
    <w:p>
      <w:pPr>
        <w:pageBreakBefore w:val="0"/>
        <w:widowControl w:val="0"/>
        <w:kinsoku/>
        <w:topLinePunct w:val="0"/>
        <w:autoSpaceDN/>
        <w:bidi w:val="0"/>
        <w:spacing w:line="590" w:lineRule="exact"/>
        <w:textAlignment w:val="auto"/>
        <w:rPr>
          <w:rFonts w:ascii="宋体" w:hAnsi="宋体"/>
        </w:rPr>
      </w:pPr>
    </w:p>
    <w:p>
      <w:pPr>
        <w:keepNext w:val="0"/>
        <w:keepLines w:val="0"/>
        <w:pageBreakBefore w:val="0"/>
        <w:widowControl w:val="0"/>
        <w:kinsoku/>
        <w:overflowPunct w:val="0"/>
        <w:topLinePunct w:val="0"/>
        <w:autoSpaceDE/>
        <w:autoSpaceDN/>
        <w:bidi w:val="0"/>
        <w:spacing w:line="590" w:lineRule="exact"/>
        <w:jc w:val="center"/>
        <w:textAlignment w:val="auto"/>
        <w:rPr>
          <w:rFonts w:hint="eastAsia" w:ascii="宋体" w:hAnsi="宋体" w:eastAsia="黑体" w:cs="黑体"/>
          <w:color w:val="auto"/>
          <w:sz w:val="32"/>
          <w:szCs w:val="32"/>
        </w:rPr>
      </w:pPr>
      <w:r>
        <w:rPr>
          <w:rFonts w:hint="eastAsia" w:ascii="宋体" w:hAnsi="宋体" w:eastAsia="黑体" w:cs="黑体"/>
          <w:color w:val="auto"/>
          <w:sz w:val="32"/>
          <w:szCs w:val="32"/>
        </w:rPr>
        <w:t>第一章  总</w:t>
      </w:r>
      <w:r>
        <w:rPr>
          <w:rFonts w:hint="eastAsia" w:ascii="宋体" w:hAnsi="宋体" w:eastAsia="黑体" w:cs="黑体"/>
          <w:color w:val="auto"/>
          <w:sz w:val="32"/>
          <w:szCs w:val="32"/>
          <w:lang w:eastAsia="zh-CN"/>
        </w:rPr>
        <w:t>　</w:t>
      </w:r>
      <w:r>
        <w:rPr>
          <w:rFonts w:hint="eastAsia" w:ascii="宋体" w:hAnsi="宋体" w:eastAsia="黑体" w:cs="黑体"/>
          <w:color w:val="auto"/>
          <w:sz w:val="32"/>
          <w:szCs w:val="32"/>
        </w:rPr>
        <w:t>则</w:t>
      </w:r>
    </w:p>
    <w:p>
      <w:pPr>
        <w:keepNext w:val="0"/>
        <w:keepLines w:val="0"/>
        <w:pageBreakBefore w:val="0"/>
        <w:widowControl w:val="0"/>
        <w:kinsoku/>
        <w:overflowPunct w:val="0"/>
        <w:topLinePunct w:val="0"/>
        <w:autoSpaceDE/>
        <w:autoSpaceDN/>
        <w:bidi w:val="0"/>
        <w:spacing w:line="590" w:lineRule="exact"/>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 xml:space="preserve"> </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第一条</w:t>
      </w:r>
      <w:r>
        <w:rPr>
          <w:rFonts w:hint="eastAsia" w:ascii="宋体" w:hAnsi="宋体" w:eastAsia="仿宋_GB2312" w:cs="黑体"/>
          <w:color w:val="auto"/>
          <w:sz w:val="32"/>
          <w:szCs w:val="32"/>
        </w:rPr>
        <w:t xml:space="preserve"> </w:t>
      </w:r>
      <w:r>
        <w:rPr>
          <w:rFonts w:hint="eastAsia" w:ascii="宋体" w:hAnsi="宋体" w:eastAsia="仿宋_GB2312" w:cs="仿宋_GB2312"/>
          <w:color w:val="auto"/>
          <w:sz w:val="32"/>
          <w:szCs w:val="32"/>
        </w:rPr>
        <w:t xml:space="preserve"> 为了加强对革命遗址的保护管理和合理利用，弘扬革命精神，赓续红色血脉，开展爱国主义和革命传统教育，培育和践行社会主义核心价值观，根据有关法律、行政法规，结合本省实际，制定本条例。</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 xml:space="preserve">第二条 </w:t>
      </w:r>
      <w:r>
        <w:rPr>
          <w:rFonts w:hint="eastAsia" w:ascii="宋体" w:hAnsi="宋体" w:eastAsia="仿宋_GB2312" w:cs="仿宋_GB2312"/>
          <w:color w:val="auto"/>
          <w:sz w:val="32"/>
          <w:szCs w:val="32"/>
        </w:rPr>
        <w:t xml:space="preserve"> 本条例适用于本省行政区域内革命遗址的调查、认定、保护、管理和利用等活动。</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属于不可移动文物、历史建筑和烈士纪念设施的革命遗址，法律法规对其保护管理另有规定的，从其规定。</w:t>
      </w:r>
    </w:p>
    <w:p>
      <w:pPr>
        <w:keepNext w:val="0"/>
        <w:keepLines w:val="0"/>
        <w:pageBreakBefore w:val="0"/>
        <w:widowControl w:val="0"/>
        <w:kinsoku/>
        <w:overflowPunct w:val="0"/>
        <w:topLinePunct w:val="0"/>
        <w:autoSpaceDE/>
        <w:autoSpaceDN/>
        <w:bidi w:val="0"/>
        <w:spacing w:line="590" w:lineRule="exact"/>
        <w:ind w:firstLine="632" w:firstLineChars="200"/>
        <w:jc w:val="left"/>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第三条</w:t>
      </w:r>
      <w:r>
        <w:rPr>
          <w:rFonts w:hint="eastAsia" w:ascii="宋体" w:hAnsi="宋体" w:eastAsia="仿宋_GB2312" w:cs="黑体"/>
          <w:color w:val="auto"/>
          <w:sz w:val="32"/>
          <w:szCs w:val="32"/>
        </w:rPr>
        <w:t xml:space="preserve"> </w:t>
      </w:r>
      <w:r>
        <w:rPr>
          <w:rFonts w:hint="eastAsia" w:ascii="宋体" w:hAnsi="宋体" w:eastAsia="仿宋_GB2312" w:cs="仿宋_GB2312"/>
          <w:color w:val="auto"/>
          <w:sz w:val="32"/>
          <w:szCs w:val="32"/>
        </w:rPr>
        <w:t xml:space="preserve"> 本条例所称革命遗址，是指见证近代以来中国人民抵御外来侵略、维护国家主权、捍卫民族独立、争取人民自由和中国共产党领导中国人民进行革命、建设、改革的历史，具有纪念意义、教育意义或者史料价值的遗址。主要包括：                                                                                                                                                                                                                                                                                                                                                                                                                                                                                                                                                                                                                                                                                                                                                                                                                                                                                                                                                                                                                                                                                                                                                                                                                                                                                                                                                                                                                                                                                                                                                                                                                                                                                                                                                                                                                                                                                                                                                                                                                                                                                                                                                                                                                                                                                                                                                                                                                                                                                                                                                                                                                                                                                                                                                                                                                                                                                                                                                                                                                                                                                                                                                                                                                                                                                                                                                                                                                                                                                                                                                                                                                                                                                                                                                                                                                                                                                                                                                                                                                                                                                                          </w:t>
      </w:r>
      <w:r>
        <w:rPr>
          <w:rFonts w:hint="eastAsia" w:ascii="宋体" w:hAnsi="宋体" w:eastAsia="仿宋_GB2312" w:cs="仿宋_GB2312"/>
          <w:color w:val="auto"/>
          <w:sz w:val="32"/>
          <w:szCs w:val="32"/>
        </w:rPr>
        <w:t xml:space="preserve">                                                                                                                                                                                                                                                                                                                                                                                                                                                                                                                                                                                                                                                                                                                                                                                                                                                                                                                                                                                                                                                                                                                                                                                                                                                                                                                                                                                                                                                                                                                                                                                                                                                                                                                                                                                                                                                                                                                                                               </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（一）重要机构、重要会议旧址；</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 xml:space="preserve">（二）重要事件和重大战斗遗址、遗迹； </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（三）重要人物故居、旧居、活动地、墓地；</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（四）具有重要影响的烈士事迹发生地，烈士墓地；</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（五）各类烈士陵园</w:t>
      </w:r>
      <w:r>
        <w:rPr>
          <w:rFonts w:hint="eastAsia" w:ascii="宋体" w:hAnsi="宋体" w:eastAsia="仿宋_GB2312" w:cs="仿宋_GB2312"/>
          <w:color w:val="auto"/>
          <w:sz w:val="32"/>
          <w:szCs w:val="32"/>
          <w:lang w:eastAsia="zh-CN"/>
        </w:rPr>
        <w:t>、</w:t>
      </w:r>
      <w:r>
        <w:rPr>
          <w:rFonts w:hint="eastAsia" w:ascii="宋体" w:hAnsi="宋体" w:eastAsia="仿宋_GB2312" w:cs="仿宋_GB2312"/>
          <w:color w:val="auto"/>
          <w:sz w:val="32"/>
          <w:szCs w:val="32"/>
        </w:rPr>
        <w:t>纪念堂</w:t>
      </w:r>
      <w:r>
        <w:rPr>
          <w:rFonts w:hint="eastAsia" w:ascii="宋体" w:hAnsi="宋体" w:eastAsia="仿宋_GB2312" w:cs="仿宋_GB2312"/>
          <w:color w:val="auto"/>
          <w:sz w:val="32"/>
          <w:szCs w:val="32"/>
          <w:lang w:eastAsia="zh-CN"/>
        </w:rPr>
        <w:t>、</w:t>
      </w:r>
      <w:r>
        <w:rPr>
          <w:rFonts w:hint="eastAsia" w:ascii="宋体" w:hAnsi="宋体" w:eastAsia="仿宋_GB2312" w:cs="仿宋_GB2312"/>
          <w:color w:val="auto"/>
          <w:sz w:val="32"/>
          <w:szCs w:val="32"/>
        </w:rPr>
        <w:t>纪念馆、纪念园</w:t>
      </w:r>
      <w:r>
        <w:rPr>
          <w:rFonts w:hint="eastAsia" w:ascii="宋体" w:hAnsi="宋体" w:eastAsia="仿宋_GB2312" w:cs="仿宋_GB2312"/>
          <w:color w:val="auto"/>
          <w:sz w:val="32"/>
          <w:szCs w:val="32"/>
          <w:lang w:eastAsia="zh-CN"/>
        </w:rPr>
        <w:t>、</w:t>
      </w:r>
      <w:r>
        <w:rPr>
          <w:rFonts w:hint="eastAsia" w:ascii="宋体" w:hAnsi="宋体" w:eastAsia="仿宋_GB2312" w:cs="仿宋_GB2312"/>
          <w:color w:val="auto"/>
          <w:sz w:val="32"/>
          <w:szCs w:val="32"/>
        </w:rPr>
        <w:t>陈列馆、纪念碑、纪念亭等纪念设施；</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（六）其他见证革命历程、弘扬革命精神、传承革命文化的重要遗址遗迹、纪念设施。</w:t>
      </w:r>
    </w:p>
    <w:p>
      <w:pPr>
        <w:keepNext w:val="0"/>
        <w:keepLines w:val="0"/>
        <w:pageBreakBefore w:val="0"/>
        <w:widowControl w:val="0"/>
        <w:kinsoku/>
        <w:overflowPunct w:val="0"/>
        <w:topLinePunct w:val="0"/>
        <w:autoSpaceDE/>
        <w:autoSpaceDN/>
        <w:bidi w:val="0"/>
        <w:spacing w:line="590" w:lineRule="exact"/>
        <w:ind w:firstLine="608" w:firstLineChars="200"/>
        <w:textAlignment w:val="auto"/>
        <w:rPr>
          <w:rFonts w:hint="eastAsia" w:ascii="宋体" w:hAnsi="宋体" w:eastAsia="仿宋_GB2312" w:cs="仿宋_GB2312"/>
          <w:color w:val="auto"/>
          <w:sz w:val="32"/>
          <w:szCs w:val="32"/>
        </w:rPr>
      </w:pPr>
      <w:r>
        <w:rPr>
          <w:rFonts w:hint="eastAsia" w:ascii="宋体" w:hAnsi="宋体" w:eastAsia="黑体" w:cs="黑体"/>
          <w:color w:val="auto"/>
          <w:spacing w:val="-6"/>
          <w:sz w:val="32"/>
          <w:szCs w:val="32"/>
        </w:rPr>
        <w:t>第四条</w:t>
      </w:r>
      <w:r>
        <w:rPr>
          <w:rFonts w:hint="eastAsia" w:ascii="宋体" w:hAnsi="宋体" w:eastAsia="仿宋_GB2312" w:cs="仿宋_GB2312"/>
          <w:color w:val="auto"/>
          <w:spacing w:val="-6"/>
          <w:sz w:val="32"/>
          <w:szCs w:val="32"/>
        </w:rPr>
        <w:t xml:space="preserve">  革命遗址保护应当遵循统筹协调、分</w:t>
      </w:r>
      <w:r>
        <w:rPr>
          <w:rFonts w:hint="eastAsia" w:ascii="宋体" w:hAnsi="宋体" w:eastAsia="仿宋_GB2312" w:cs="仿宋_GB2312"/>
          <w:color w:val="auto"/>
          <w:sz w:val="32"/>
          <w:szCs w:val="32"/>
        </w:rPr>
        <w:t>类管理、有效保护、合理利用的原则，维护革命遗址本体安全与特有的历史环境风貌，确保历史真实性、风貌完整性和文化延续性。</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第五条</w:t>
      </w:r>
      <w:r>
        <w:rPr>
          <w:rFonts w:hint="eastAsia" w:ascii="宋体" w:hAnsi="宋体" w:eastAsia="仿宋_GB2312" w:cs="仿宋_GB2312"/>
          <w:color w:val="auto"/>
          <w:sz w:val="32"/>
          <w:szCs w:val="32"/>
        </w:rPr>
        <w:t xml:space="preserve">  县级以上人民政府应当加强对本行政区域内革命遗址保护工作的领导，将革命遗址保护纳入本级国民经济和社会发展规划、国土空间规划以及相关专项规划，所需经费列入本级财政预算。</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 xml:space="preserve">第六条 </w:t>
      </w:r>
      <w:r>
        <w:rPr>
          <w:rFonts w:hint="eastAsia" w:ascii="宋体" w:hAnsi="宋体" w:eastAsia="仿宋_GB2312" w:cs="仿宋_GB2312"/>
          <w:color w:val="auto"/>
          <w:sz w:val="32"/>
          <w:szCs w:val="32"/>
        </w:rPr>
        <w:t xml:space="preserve"> 县级以上人民政府文化和旅游主管部门负责本行政区域内革命遗址保护工作的组织实施和指导监督。</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革命遗址属于不可移动文物、历史建筑或者烈士纪念设施的，分别由文物行政主管部门、承担历史建筑保护工作的主管部门、退役军人</w:t>
      </w:r>
      <w:r>
        <w:rPr>
          <w:rFonts w:hint="eastAsia" w:ascii="宋体" w:hAnsi="宋体" w:eastAsia="仿宋_GB2312" w:cs="仿宋_GB2312"/>
          <w:color w:val="auto"/>
          <w:sz w:val="32"/>
          <w:szCs w:val="32"/>
          <w:lang w:eastAsia="zh-CN"/>
        </w:rPr>
        <w:t>工作</w:t>
      </w:r>
      <w:r>
        <w:rPr>
          <w:rFonts w:hint="eastAsia" w:ascii="宋体" w:hAnsi="宋体" w:eastAsia="仿宋_GB2312" w:cs="仿宋_GB2312"/>
          <w:color w:val="auto"/>
          <w:sz w:val="32"/>
          <w:szCs w:val="32"/>
        </w:rPr>
        <w:t>主管部门依照有关法律法规规定，负责保护管理工作。</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发展改革、教育、财政、自然资源、住房城乡建设等部门</w:t>
      </w:r>
      <w:r>
        <w:rPr>
          <w:rFonts w:hint="eastAsia" w:ascii="宋体" w:hAnsi="宋体" w:eastAsia="仿宋_GB2312" w:cs="仿宋_GB2312"/>
          <w:color w:val="auto"/>
          <w:sz w:val="32"/>
          <w:szCs w:val="32"/>
          <w:lang w:eastAsia="zh-CN"/>
        </w:rPr>
        <w:t>和党史研究机构</w:t>
      </w:r>
      <w:r>
        <w:rPr>
          <w:rFonts w:hint="eastAsia" w:ascii="宋体" w:hAnsi="宋体" w:eastAsia="仿宋_GB2312" w:cs="仿宋_GB2312"/>
          <w:color w:val="auto"/>
          <w:sz w:val="32"/>
          <w:szCs w:val="32"/>
        </w:rPr>
        <w:t>，按照各自职责做好革命遗址保护管理相关工作。</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第七条</w:t>
      </w:r>
      <w:r>
        <w:rPr>
          <w:rFonts w:hint="eastAsia" w:ascii="宋体" w:hAnsi="宋体" w:eastAsia="仿宋_GB2312" w:cs="仿宋_GB2312"/>
          <w:color w:val="auto"/>
          <w:sz w:val="32"/>
          <w:szCs w:val="32"/>
        </w:rPr>
        <w:t xml:space="preserve">  建立革命遗址保护工作联席会议制度。县级以上联席会议由宣传、文化和旅游</w:t>
      </w:r>
      <w:r>
        <w:rPr>
          <w:rFonts w:hint="eastAsia" w:ascii="宋体" w:hAnsi="宋体" w:cs="仿宋_GB2312"/>
          <w:color w:val="auto"/>
          <w:sz w:val="32"/>
          <w:szCs w:val="32"/>
          <w:lang w:eastAsia="zh-CN"/>
        </w:rPr>
        <w:t>主管</w:t>
      </w:r>
      <w:r>
        <w:rPr>
          <w:rFonts w:hint="eastAsia" w:ascii="宋体" w:hAnsi="宋体" w:eastAsia="仿宋_GB2312" w:cs="仿宋_GB2312"/>
          <w:color w:val="auto"/>
          <w:sz w:val="32"/>
          <w:szCs w:val="32"/>
        </w:rPr>
        <w:t xml:space="preserve">部门共同召集，研究下列有关革命遗址保护的重要事项： </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（一）</w:t>
      </w:r>
      <w:r>
        <w:rPr>
          <w:rFonts w:hint="eastAsia" w:ascii="宋体" w:hAnsi="宋体" w:eastAsia="仿宋_GB2312" w:cs="仿宋_GB2312"/>
          <w:color w:val="auto"/>
          <w:sz w:val="32"/>
          <w:szCs w:val="32"/>
          <w:lang w:eastAsia="zh-CN"/>
        </w:rPr>
        <w:t>研究</w:t>
      </w:r>
      <w:r>
        <w:rPr>
          <w:rFonts w:hint="eastAsia" w:ascii="宋体" w:hAnsi="宋体" w:eastAsia="仿宋_GB2312" w:cs="仿宋_GB2312"/>
          <w:color w:val="auto"/>
          <w:sz w:val="32"/>
          <w:szCs w:val="32"/>
        </w:rPr>
        <w:t>革命遗址保护工作的规划、政策和方案；</w:t>
      </w:r>
    </w:p>
    <w:p>
      <w:pPr>
        <w:keepNext w:val="0"/>
        <w:keepLines w:val="0"/>
        <w:pageBreakBefore w:val="0"/>
        <w:widowControl w:val="0"/>
        <w:kinsoku/>
        <w:overflowPunct w:val="0"/>
        <w:topLinePunct w:val="0"/>
        <w:autoSpaceDE/>
        <w:autoSpaceDN/>
        <w:bidi w:val="0"/>
        <w:spacing w:line="590" w:lineRule="exact"/>
        <w:ind w:firstLine="632" w:firstLineChars="200"/>
        <w:jc w:val="both"/>
        <w:textAlignment w:val="auto"/>
        <w:rPr>
          <w:rFonts w:hint="eastAsia" w:ascii="宋体" w:hAnsi="宋体" w:eastAsia="仿宋_GB2312" w:cs="仿宋_GB2312"/>
          <w:color w:val="auto"/>
        </w:rPr>
      </w:pPr>
      <w:r>
        <w:rPr>
          <w:rFonts w:hint="eastAsia" w:ascii="宋体" w:hAnsi="宋体" w:eastAsia="仿宋_GB2312" w:cs="仿宋_GB2312"/>
          <w:color w:val="auto"/>
          <w:szCs w:val="32"/>
        </w:rPr>
        <w:t>（二）</w:t>
      </w:r>
      <w:r>
        <w:rPr>
          <w:rFonts w:hint="eastAsia" w:ascii="宋体" w:hAnsi="宋体" w:eastAsia="仿宋_GB2312" w:cs="仿宋_GB2312"/>
          <w:color w:val="auto"/>
          <w:szCs w:val="32"/>
          <w:lang w:eastAsia="zh-CN"/>
        </w:rPr>
        <w:t>研究</w:t>
      </w:r>
      <w:r>
        <w:rPr>
          <w:rFonts w:hint="eastAsia" w:ascii="宋体" w:hAnsi="宋体" w:eastAsia="仿宋_GB2312" w:cs="仿宋_GB2312"/>
          <w:color w:val="auto"/>
          <w:szCs w:val="32"/>
        </w:rPr>
        <w:t>革命遗址保护名录；</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（三）统筹协调解决革命遗址保护工作中的重要问题；</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（四）督促、检查、评估革命遗址保护工作的情况；</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（五）其他重要事项。</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第八条</w:t>
      </w:r>
      <w:r>
        <w:rPr>
          <w:rFonts w:hint="eastAsia" w:ascii="宋体" w:hAnsi="宋体" w:eastAsia="仿宋_GB2312" w:cs="仿宋_GB2312"/>
          <w:color w:val="auto"/>
          <w:sz w:val="32"/>
          <w:szCs w:val="32"/>
        </w:rPr>
        <w:t xml:space="preserve">  乡镇人民政府、街道办事处按照职责，在革命遗址保护主管部门的指导下做好所在区域内革命遗址保护的相关工作。</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 xml:space="preserve">第九条 </w:t>
      </w:r>
      <w:r>
        <w:rPr>
          <w:rFonts w:hint="eastAsia" w:ascii="宋体" w:hAnsi="宋体" w:eastAsia="仿宋_GB2312" w:cs="仿宋_GB2312"/>
          <w:color w:val="auto"/>
          <w:sz w:val="32"/>
          <w:szCs w:val="32"/>
        </w:rPr>
        <w:t xml:space="preserve"> 县级以上人民政府应当结合实际落实革命遗址保护利用经费，建立科学规范的经费分配机制，加强资金的绩效管理和监督，依法、依规使用革命遗址保护资金。</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革命遗址保护利用经费适当向原中央苏区、革命老区和财政比较困难的地区倾斜。</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县级以上人民政府应当建立健全革命遗址保护利用多元投入体系，引导公益基金、慈善基金等社会资金参与革命遗址保护工作。</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 xml:space="preserve">第十条 </w:t>
      </w:r>
      <w:r>
        <w:rPr>
          <w:rFonts w:hint="eastAsia" w:ascii="宋体" w:hAnsi="宋体" w:eastAsia="仿宋_GB2312" w:cs="仿宋_GB2312"/>
          <w:color w:val="auto"/>
          <w:sz w:val="32"/>
          <w:szCs w:val="32"/>
        </w:rPr>
        <w:t xml:space="preserve"> 任何组织和个人都有权</w:t>
      </w:r>
      <w:r>
        <w:rPr>
          <w:rFonts w:hint="eastAsia" w:ascii="宋体" w:hAnsi="宋体" w:cs="仿宋_GB2312"/>
          <w:color w:val="auto"/>
          <w:sz w:val="32"/>
          <w:szCs w:val="32"/>
          <w:lang w:eastAsia="zh-CN"/>
        </w:rPr>
        <w:t>举报</w:t>
      </w:r>
      <w:r>
        <w:rPr>
          <w:rFonts w:hint="eastAsia" w:ascii="宋体" w:hAnsi="宋体" w:eastAsia="仿宋_GB2312" w:cs="仿宋_GB2312"/>
          <w:color w:val="auto"/>
          <w:sz w:val="32"/>
          <w:szCs w:val="32"/>
        </w:rPr>
        <w:t>并制止破坏、损毁、亵渎革命遗址的行为。</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鼓励和支持公民、法人和其他组织通过捐赠、资助、志愿服务、技术支持等方式参与革命遗址的保护利用。</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i/>
          <w:iCs/>
          <w:color w:val="auto"/>
          <w:sz w:val="32"/>
          <w:szCs w:val="32"/>
          <w:u w:val="single"/>
        </w:rPr>
      </w:pPr>
      <w:r>
        <w:rPr>
          <w:rFonts w:hint="eastAsia" w:ascii="宋体" w:hAnsi="宋体" w:eastAsia="黑体" w:cs="黑体"/>
          <w:color w:val="auto"/>
          <w:sz w:val="32"/>
          <w:szCs w:val="32"/>
        </w:rPr>
        <w:t xml:space="preserve">第十一条 </w:t>
      </w:r>
      <w:r>
        <w:rPr>
          <w:rFonts w:hint="eastAsia" w:ascii="宋体" w:hAnsi="宋体" w:eastAsia="仿宋_GB2312" w:cs="仿宋_GB2312"/>
          <w:color w:val="auto"/>
          <w:sz w:val="32"/>
          <w:szCs w:val="32"/>
        </w:rPr>
        <w:t xml:space="preserve"> 县级以上人民政府及革命遗址保护有关部门按照国家和省的有关规定，对革命遗址保护、管理、利用做出突出贡献的单位和个人给予表彰、奖励。</w:t>
      </w:r>
    </w:p>
    <w:p>
      <w:pPr>
        <w:keepNext w:val="0"/>
        <w:keepLines w:val="0"/>
        <w:pageBreakBefore w:val="0"/>
        <w:widowControl w:val="0"/>
        <w:kinsoku/>
        <w:overflowPunct w:val="0"/>
        <w:topLinePunct w:val="0"/>
        <w:autoSpaceDE/>
        <w:autoSpaceDN/>
        <w:bidi w:val="0"/>
        <w:spacing w:line="590" w:lineRule="exact"/>
        <w:jc w:val="center"/>
        <w:textAlignment w:val="auto"/>
        <w:rPr>
          <w:rFonts w:hint="eastAsia" w:ascii="宋体" w:hAnsi="宋体" w:eastAsia="仿宋_GB2312" w:cs="仿宋_GB2312"/>
          <w:color w:val="auto"/>
          <w:sz w:val="32"/>
          <w:szCs w:val="32"/>
        </w:rPr>
      </w:pPr>
    </w:p>
    <w:p>
      <w:pPr>
        <w:keepNext w:val="0"/>
        <w:keepLines w:val="0"/>
        <w:pageBreakBefore w:val="0"/>
        <w:widowControl w:val="0"/>
        <w:kinsoku/>
        <w:overflowPunct w:val="0"/>
        <w:topLinePunct w:val="0"/>
        <w:autoSpaceDE/>
        <w:autoSpaceDN/>
        <w:bidi w:val="0"/>
        <w:spacing w:line="590" w:lineRule="exact"/>
        <w:jc w:val="center"/>
        <w:textAlignment w:val="auto"/>
        <w:rPr>
          <w:rFonts w:hint="eastAsia" w:ascii="宋体" w:hAnsi="宋体" w:eastAsia="黑体" w:cs="黑体"/>
          <w:color w:val="auto"/>
          <w:sz w:val="32"/>
          <w:szCs w:val="32"/>
        </w:rPr>
      </w:pPr>
      <w:r>
        <w:rPr>
          <w:rFonts w:hint="eastAsia" w:ascii="宋体" w:hAnsi="宋体" w:eastAsia="黑体" w:cs="黑体"/>
          <w:color w:val="auto"/>
          <w:sz w:val="32"/>
          <w:szCs w:val="32"/>
        </w:rPr>
        <w:t>第二章  保护管理</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i/>
          <w:color w:val="auto"/>
          <w:sz w:val="32"/>
          <w:szCs w:val="32"/>
          <w:u w:val="single"/>
          <w:lang w:eastAsia="zh-CN"/>
        </w:rPr>
      </w:pPr>
      <w:r>
        <w:rPr>
          <w:rFonts w:hint="eastAsia" w:ascii="宋体" w:hAnsi="宋体" w:eastAsia="黑体" w:cs="黑体"/>
          <w:color w:val="auto"/>
          <w:sz w:val="32"/>
          <w:szCs w:val="32"/>
        </w:rPr>
        <w:t xml:space="preserve">第十二条 </w:t>
      </w:r>
      <w:r>
        <w:rPr>
          <w:rFonts w:hint="eastAsia" w:ascii="宋体" w:hAnsi="宋体" w:eastAsia="仿宋_GB2312" w:cs="仿宋_GB2312"/>
          <w:color w:val="auto"/>
          <w:sz w:val="32"/>
          <w:szCs w:val="32"/>
        </w:rPr>
        <w:t xml:space="preserve"> 县级以上人民政府文化和旅游</w:t>
      </w:r>
      <w:r>
        <w:rPr>
          <w:rFonts w:hint="eastAsia" w:ascii="宋体" w:hAnsi="宋体" w:cs="仿宋_GB2312"/>
          <w:color w:val="auto"/>
          <w:sz w:val="32"/>
          <w:szCs w:val="32"/>
          <w:lang w:eastAsia="zh-CN"/>
        </w:rPr>
        <w:t>主管</w:t>
      </w:r>
      <w:r>
        <w:rPr>
          <w:rFonts w:hint="eastAsia" w:ascii="宋体" w:hAnsi="宋体" w:eastAsia="仿宋_GB2312" w:cs="仿宋_GB2312"/>
          <w:color w:val="auto"/>
          <w:sz w:val="32"/>
          <w:szCs w:val="32"/>
        </w:rPr>
        <w:t>部门应当组织有关部门对本行政区域内革命遗址开展全面调查工作。</w:t>
      </w:r>
      <w:r>
        <w:rPr>
          <w:rFonts w:hint="eastAsia" w:ascii="宋体" w:hAnsi="宋体" w:eastAsia="仿宋_GB2312" w:cs="仿宋_GB2312"/>
          <w:color w:val="auto"/>
          <w:sz w:val="32"/>
          <w:szCs w:val="32"/>
          <w:lang w:eastAsia="zh-CN"/>
        </w:rPr>
        <w:t>涉及非国有革命遗址的，应当征求有关所有权人以及其他利害关系人的意见</w:t>
      </w:r>
      <w:r>
        <w:rPr>
          <w:rFonts w:hint="eastAsia" w:ascii="宋体" w:hAnsi="宋体" w:eastAsia="仿宋_GB2312" w:cs="仿宋_GB2312"/>
          <w:color w:val="auto"/>
          <w:sz w:val="32"/>
          <w:szCs w:val="32"/>
          <w:lang w:val="en-US" w:eastAsia="zh-CN"/>
        </w:rPr>
        <w:t>；相关人员无法联系的，应当进行公示</w:t>
      </w:r>
      <w:r>
        <w:rPr>
          <w:rFonts w:hint="eastAsia" w:ascii="宋体" w:hAnsi="宋体" w:eastAsia="仿宋_GB2312" w:cs="仿宋_GB2312"/>
          <w:color w:val="auto"/>
          <w:sz w:val="32"/>
          <w:szCs w:val="32"/>
          <w:lang w:eastAsia="zh-CN"/>
        </w:rPr>
        <w:t>。</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省文化和旅游</w:t>
      </w:r>
      <w:r>
        <w:rPr>
          <w:rFonts w:hint="eastAsia" w:ascii="宋体" w:hAnsi="宋体" w:cs="仿宋_GB2312"/>
          <w:color w:val="auto"/>
          <w:sz w:val="32"/>
          <w:szCs w:val="32"/>
          <w:lang w:eastAsia="zh-CN"/>
        </w:rPr>
        <w:t>主管</w:t>
      </w:r>
      <w:r>
        <w:rPr>
          <w:rFonts w:hint="eastAsia" w:ascii="宋体" w:hAnsi="宋体" w:eastAsia="仿宋_GB2312" w:cs="仿宋_GB2312"/>
          <w:color w:val="auto"/>
          <w:sz w:val="32"/>
          <w:szCs w:val="32"/>
        </w:rPr>
        <w:t>部门会同革命遗址保护有关部门和机构，根据革命遗址调查结果，</w:t>
      </w:r>
      <w:r>
        <w:rPr>
          <w:rFonts w:hint="eastAsia" w:ascii="宋体" w:hAnsi="宋体" w:eastAsia="仿宋_GB2312" w:cs="仿宋_GB2312"/>
          <w:color w:val="auto"/>
          <w:sz w:val="32"/>
          <w:szCs w:val="32"/>
          <w:lang w:eastAsia="zh-CN"/>
        </w:rPr>
        <w:t>组织专家</w:t>
      </w:r>
      <w:r>
        <w:rPr>
          <w:rFonts w:hint="eastAsia" w:ascii="宋体" w:hAnsi="宋体" w:eastAsia="仿宋_GB2312" w:cs="仿宋_GB2312"/>
          <w:color w:val="auto"/>
          <w:sz w:val="32"/>
          <w:szCs w:val="32"/>
        </w:rPr>
        <w:t>按照认定标准对革命遗址进行</w:t>
      </w:r>
      <w:r>
        <w:rPr>
          <w:rFonts w:hint="eastAsia" w:ascii="宋体" w:hAnsi="宋体" w:eastAsia="仿宋_GB2312" w:cs="仿宋_GB2312"/>
          <w:color w:val="auto"/>
          <w:sz w:val="32"/>
          <w:szCs w:val="32"/>
          <w:lang w:eastAsia="zh-CN"/>
        </w:rPr>
        <w:t>评审</w:t>
      </w:r>
      <w:r>
        <w:rPr>
          <w:rFonts w:hint="eastAsia" w:ascii="宋体" w:hAnsi="宋体" w:eastAsia="仿宋_GB2312" w:cs="仿宋_GB2312"/>
          <w:color w:val="auto"/>
          <w:sz w:val="32"/>
          <w:szCs w:val="32"/>
        </w:rPr>
        <w:t>，</w:t>
      </w:r>
      <w:r>
        <w:rPr>
          <w:rFonts w:hint="eastAsia" w:ascii="宋体" w:hAnsi="宋体" w:eastAsia="仿宋_GB2312" w:cs="仿宋_GB2312"/>
          <w:color w:val="auto"/>
          <w:sz w:val="32"/>
          <w:szCs w:val="32"/>
          <w:lang w:eastAsia="zh-CN"/>
        </w:rPr>
        <w:t>提出</w:t>
      </w:r>
      <w:r>
        <w:rPr>
          <w:rFonts w:hint="eastAsia" w:ascii="宋体" w:hAnsi="宋体" w:eastAsia="仿宋_GB2312" w:cs="仿宋_GB2312"/>
          <w:color w:val="auto"/>
          <w:sz w:val="32"/>
          <w:szCs w:val="32"/>
        </w:rPr>
        <w:t>革命遗址保护</w:t>
      </w:r>
      <w:r>
        <w:rPr>
          <w:rFonts w:hint="eastAsia" w:ascii="宋体" w:hAnsi="宋体" w:eastAsia="仿宋_GB2312" w:cs="仿宋_GB2312"/>
          <w:color w:val="auto"/>
          <w:sz w:val="32"/>
          <w:szCs w:val="32"/>
          <w:lang w:eastAsia="zh-CN"/>
        </w:rPr>
        <w:t>建议</w:t>
      </w:r>
      <w:r>
        <w:rPr>
          <w:rFonts w:hint="eastAsia" w:ascii="宋体" w:hAnsi="宋体" w:eastAsia="仿宋_GB2312" w:cs="仿宋_GB2312"/>
          <w:color w:val="auto"/>
          <w:sz w:val="32"/>
          <w:szCs w:val="32"/>
        </w:rPr>
        <w:t>名录</w:t>
      </w:r>
      <w:r>
        <w:rPr>
          <w:rFonts w:hint="eastAsia" w:ascii="宋体" w:hAnsi="宋体" w:eastAsia="仿宋_GB2312" w:cs="仿宋_GB2312"/>
          <w:color w:val="auto"/>
          <w:sz w:val="32"/>
          <w:szCs w:val="32"/>
          <w:lang w:eastAsia="zh-CN"/>
        </w:rPr>
        <w:t>或者调整方案。革命遗址保护建议名录应当</w:t>
      </w:r>
      <w:r>
        <w:rPr>
          <w:rFonts w:hint="eastAsia" w:ascii="宋体" w:hAnsi="宋体" w:eastAsia="仿宋_GB2312" w:cs="仿宋_GB2312"/>
          <w:color w:val="auto"/>
          <w:sz w:val="32"/>
          <w:szCs w:val="32"/>
        </w:rPr>
        <w:t>向社会公示，公示时间不得少于二十日。革命遗址保护</w:t>
      </w:r>
      <w:r>
        <w:rPr>
          <w:rFonts w:hint="eastAsia" w:ascii="宋体" w:hAnsi="宋体" w:eastAsia="仿宋_GB2312" w:cs="仿宋_GB2312"/>
          <w:color w:val="auto"/>
          <w:sz w:val="32"/>
          <w:szCs w:val="32"/>
          <w:lang w:eastAsia="zh-CN"/>
        </w:rPr>
        <w:t>建议</w:t>
      </w:r>
      <w:r>
        <w:rPr>
          <w:rFonts w:hint="eastAsia" w:ascii="宋体" w:hAnsi="宋体" w:eastAsia="仿宋_GB2312" w:cs="仿宋_GB2312"/>
          <w:color w:val="auto"/>
          <w:sz w:val="32"/>
          <w:szCs w:val="32"/>
        </w:rPr>
        <w:t>名录</w:t>
      </w:r>
      <w:r>
        <w:rPr>
          <w:rFonts w:hint="eastAsia" w:ascii="宋体" w:hAnsi="宋体" w:eastAsia="仿宋_GB2312" w:cs="仿宋_GB2312"/>
          <w:color w:val="auto"/>
          <w:sz w:val="32"/>
          <w:szCs w:val="32"/>
          <w:lang w:eastAsia="zh-CN"/>
        </w:rPr>
        <w:t>经省革命遗址保护工作联席会议研究通过后，</w:t>
      </w:r>
      <w:r>
        <w:rPr>
          <w:rFonts w:hint="eastAsia" w:ascii="宋体" w:hAnsi="宋体" w:eastAsia="仿宋_GB2312" w:cs="仿宋_GB2312"/>
          <w:color w:val="auto"/>
          <w:sz w:val="32"/>
          <w:szCs w:val="32"/>
        </w:rPr>
        <w:t>报省人民政府核准公布。</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革命遗址调查认定标准，由省文化和旅游</w:t>
      </w:r>
      <w:r>
        <w:rPr>
          <w:rFonts w:hint="eastAsia" w:ascii="宋体" w:hAnsi="宋体" w:cs="仿宋_GB2312"/>
          <w:color w:val="auto"/>
          <w:sz w:val="32"/>
          <w:szCs w:val="32"/>
          <w:lang w:eastAsia="zh-CN"/>
        </w:rPr>
        <w:t>主管</w:t>
      </w:r>
      <w:r>
        <w:rPr>
          <w:rFonts w:hint="eastAsia" w:ascii="宋体" w:hAnsi="宋体" w:eastAsia="仿宋_GB2312" w:cs="仿宋_GB2312"/>
          <w:color w:val="auto"/>
          <w:sz w:val="32"/>
          <w:szCs w:val="32"/>
        </w:rPr>
        <w:t>部门会同革命遗址</w:t>
      </w:r>
      <w:r>
        <w:rPr>
          <w:rFonts w:hint="eastAsia" w:ascii="宋体" w:hAnsi="宋体" w:eastAsia="仿宋_GB2312" w:cs="仿宋_GB2312"/>
          <w:color w:val="auto"/>
          <w:spacing w:val="-6"/>
          <w:sz w:val="32"/>
          <w:szCs w:val="32"/>
        </w:rPr>
        <w:t>保护有关部门和机构</w:t>
      </w:r>
      <w:r>
        <w:rPr>
          <w:rFonts w:hint="eastAsia" w:ascii="宋体" w:hAnsi="宋体" w:eastAsia="仿宋_GB2312" w:cs="仿宋_GB2312"/>
          <w:color w:val="auto"/>
          <w:spacing w:val="-6"/>
          <w:sz w:val="32"/>
          <w:szCs w:val="32"/>
          <w:lang w:eastAsia="zh-CN"/>
        </w:rPr>
        <w:t>拟</w:t>
      </w:r>
      <w:r>
        <w:rPr>
          <w:rFonts w:hint="eastAsia" w:ascii="宋体" w:hAnsi="宋体" w:eastAsia="仿宋_GB2312" w:cs="仿宋_GB2312"/>
          <w:color w:val="auto"/>
          <w:spacing w:val="-6"/>
          <w:sz w:val="32"/>
          <w:szCs w:val="32"/>
        </w:rPr>
        <w:t>订</w:t>
      </w:r>
      <w:r>
        <w:rPr>
          <w:rFonts w:hint="eastAsia" w:ascii="宋体" w:hAnsi="宋体" w:eastAsia="仿宋_GB2312" w:cs="仿宋_GB2312"/>
          <w:color w:val="auto"/>
          <w:spacing w:val="-6"/>
          <w:sz w:val="32"/>
          <w:szCs w:val="32"/>
          <w:lang w:eastAsia="zh-CN"/>
        </w:rPr>
        <w:t>，报省革命遗址保护工作联席会议审定</w:t>
      </w:r>
      <w:r>
        <w:rPr>
          <w:rFonts w:hint="eastAsia" w:ascii="宋体" w:hAnsi="宋体" w:eastAsia="仿宋_GB2312" w:cs="仿宋_GB2312"/>
          <w:color w:val="auto"/>
          <w:spacing w:val="-6"/>
          <w:sz w:val="32"/>
          <w:szCs w:val="32"/>
        </w:rPr>
        <w:t>。</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第十三条</w:t>
      </w:r>
      <w:r>
        <w:rPr>
          <w:rFonts w:hint="eastAsia" w:ascii="宋体" w:hAnsi="宋体" w:eastAsia="仿宋_GB2312" w:cs="仿宋_GB2312"/>
          <w:color w:val="auto"/>
          <w:sz w:val="32"/>
          <w:szCs w:val="32"/>
        </w:rPr>
        <w:t xml:space="preserve"> </w:t>
      </w:r>
      <w:r>
        <w:rPr>
          <w:rFonts w:hint="eastAsia" w:ascii="宋体" w:hAnsi="宋体" w:eastAsia="仿宋_GB2312" w:cs="黑体"/>
          <w:color w:val="auto"/>
          <w:sz w:val="32"/>
          <w:szCs w:val="32"/>
        </w:rPr>
        <w:t xml:space="preserve"> </w:t>
      </w:r>
      <w:r>
        <w:rPr>
          <w:rFonts w:hint="eastAsia" w:ascii="宋体" w:hAnsi="宋体" w:eastAsia="仿宋_GB2312" w:cs="仿宋_GB2312"/>
          <w:color w:val="auto"/>
          <w:sz w:val="32"/>
          <w:szCs w:val="32"/>
          <w:lang w:eastAsia="zh-CN"/>
        </w:rPr>
        <w:t>对于</w:t>
      </w:r>
      <w:r>
        <w:rPr>
          <w:rFonts w:hint="eastAsia" w:ascii="宋体" w:hAnsi="宋体" w:eastAsia="仿宋_GB2312" w:cs="仿宋_GB2312"/>
          <w:color w:val="auto"/>
          <w:sz w:val="32"/>
          <w:szCs w:val="32"/>
        </w:rPr>
        <w:t>符合文物认定标准的革命遗址</w:t>
      </w:r>
      <w:r>
        <w:rPr>
          <w:rFonts w:hint="eastAsia" w:ascii="宋体" w:hAnsi="宋体" w:eastAsia="仿宋_GB2312" w:cs="仿宋_GB2312"/>
          <w:color w:val="auto"/>
          <w:sz w:val="32"/>
          <w:szCs w:val="32"/>
          <w:lang w:eastAsia="zh-CN"/>
        </w:rPr>
        <w:t>，</w:t>
      </w:r>
      <w:r>
        <w:rPr>
          <w:rFonts w:hint="eastAsia" w:ascii="宋体" w:hAnsi="宋体" w:eastAsia="仿宋_GB2312" w:cs="仿宋_GB2312"/>
          <w:color w:val="auto"/>
          <w:sz w:val="32"/>
          <w:szCs w:val="32"/>
        </w:rPr>
        <w:t>县级人民政府文物行政主管部门应当及时依法登记并公布为不可移动文物，并将具有重要纪念意义、教育意义或者史料价值的革命遗址，按程序报县级以上人民政府核定公布为相应级别的文物保护单位。</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对于未公布为文物保护单位，也未登记为不可移动文物，但符合历史建筑认定标准的革命遗址，所在地的城市、县人民政府应当依法将其公布为历史建筑。</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rPr>
      </w:pPr>
      <w:r>
        <w:rPr>
          <w:rFonts w:hint="eastAsia" w:ascii="宋体" w:hAnsi="宋体" w:eastAsia="仿宋_GB2312" w:cs="仿宋_GB2312"/>
          <w:color w:val="auto"/>
          <w:sz w:val="32"/>
          <w:szCs w:val="32"/>
          <w:lang w:eastAsia="zh-CN"/>
        </w:rPr>
        <w:t>对于属于烈士纪念设施的革命遗址，</w:t>
      </w:r>
      <w:r>
        <w:rPr>
          <w:rFonts w:hint="eastAsia" w:ascii="宋体" w:hAnsi="宋体" w:eastAsia="仿宋_GB2312" w:cs="仿宋_GB2312"/>
          <w:color w:val="auto"/>
          <w:sz w:val="32"/>
          <w:szCs w:val="32"/>
        </w:rPr>
        <w:t>县级以上人民政府退役军人</w:t>
      </w:r>
      <w:r>
        <w:rPr>
          <w:rFonts w:hint="eastAsia" w:ascii="宋体" w:hAnsi="宋体" w:eastAsia="仿宋_GB2312" w:cs="仿宋_GB2312"/>
          <w:color w:val="auto"/>
          <w:sz w:val="32"/>
          <w:szCs w:val="32"/>
          <w:lang w:eastAsia="zh-CN"/>
        </w:rPr>
        <w:t>工作</w:t>
      </w:r>
      <w:r>
        <w:rPr>
          <w:rFonts w:hint="eastAsia" w:ascii="宋体" w:hAnsi="宋体" w:eastAsia="仿宋_GB2312" w:cs="仿宋_GB2312"/>
          <w:color w:val="auto"/>
          <w:sz w:val="32"/>
          <w:szCs w:val="32"/>
        </w:rPr>
        <w:t>主管部门应当</w:t>
      </w:r>
      <w:r>
        <w:rPr>
          <w:rFonts w:hint="eastAsia" w:ascii="宋体" w:hAnsi="宋体" w:eastAsia="仿宋_GB2312" w:cs="仿宋_GB2312"/>
          <w:i w:val="0"/>
          <w:iCs w:val="0"/>
          <w:color w:val="auto"/>
          <w:sz w:val="32"/>
          <w:szCs w:val="32"/>
          <w:u w:val="none"/>
          <w:lang w:eastAsia="zh-CN"/>
        </w:rPr>
        <w:t>按照规定</w:t>
      </w:r>
      <w:r>
        <w:rPr>
          <w:rFonts w:hint="eastAsia" w:ascii="宋体" w:hAnsi="宋体" w:eastAsia="仿宋_GB2312" w:cs="仿宋_GB2312"/>
          <w:i w:val="0"/>
          <w:iCs w:val="0"/>
          <w:color w:val="auto"/>
          <w:sz w:val="32"/>
          <w:szCs w:val="32"/>
          <w:u w:val="none"/>
        </w:rPr>
        <w:t>确定</w:t>
      </w:r>
      <w:r>
        <w:rPr>
          <w:rFonts w:hint="eastAsia" w:ascii="宋体" w:hAnsi="宋体" w:eastAsia="仿宋_GB2312" w:cs="仿宋_GB2312"/>
          <w:color w:val="auto"/>
          <w:sz w:val="32"/>
          <w:szCs w:val="32"/>
        </w:rPr>
        <w:t>省级、设区的市级、县级烈士纪念设施，报本级人民政府批准后公布，并报上一级人民政府退役军人</w:t>
      </w:r>
      <w:r>
        <w:rPr>
          <w:rFonts w:hint="eastAsia" w:ascii="宋体" w:hAnsi="宋体" w:eastAsia="仿宋_GB2312" w:cs="仿宋_GB2312"/>
          <w:color w:val="auto"/>
          <w:sz w:val="32"/>
          <w:szCs w:val="32"/>
          <w:lang w:eastAsia="zh-CN"/>
        </w:rPr>
        <w:t>工作主管</w:t>
      </w:r>
      <w:r>
        <w:rPr>
          <w:rFonts w:hint="eastAsia" w:ascii="宋体" w:hAnsi="宋体" w:eastAsia="仿宋_GB2312" w:cs="仿宋_GB2312"/>
          <w:color w:val="auto"/>
          <w:sz w:val="32"/>
          <w:szCs w:val="32"/>
        </w:rPr>
        <w:t>部门备案。</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革命遗址所在区域符合历史文化名城、名镇、名村、街区申报条件的，应当依法组织申报。</w:t>
      </w:r>
    </w:p>
    <w:p>
      <w:pPr>
        <w:keepNext w:val="0"/>
        <w:keepLines w:val="0"/>
        <w:pageBreakBefore w:val="0"/>
        <w:widowControl w:val="0"/>
        <w:kinsoku/>
        <w:overflowPunct w:val="0"/>
        <w:topLinePunct w:val="0"/>
        <w:autoSpaceDE/>
        <w:autoSpaceDN/>
        <w:bidi w:val="0"/>
        <w:snapToGrid/>
        <w:spacing w:line="590" w:lineRule="exact"/>
        <w:ind w:left="0" w:leftChars="0" w:firstLine="632" w:firstLineChars="200"/>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第十四条</w:t>
      </w:r>
      <w:r>
        <w:rPr>
          <w:rFonts w:hint="eastAsia" w:ascii="宋体" w:hAnsi="宋体" w:eastAsia="仿宋_GB2312" w:cs="仿宋_GB2312"/>
          <w:color w:val="auto"/>
          <w:sz w:val="32"/>
          <w:szCs w:val="32"/>
        </w:rPr>
        <w:t xml:space="preserve">  县级人民政府应当对列入保护名录的革命遗址</w:t>
      </w:r>
      <w:r>
        <w:rPr>
          <w:rFonts w:hint="eastAsia" w:ascii="宋体" w:hAnsi="宋体" w:eastAsia="仿宋_GB2312" w:cs="仿宋_GB2312"/>
          <w:color w:val="auto"/>
          <w:sz w:val="32"/>
          <w:szCs w:val="32"/>
          <w:lang w:eastAsia="zh-CN"/>
        </w:rPr>
        <w:t>按照省确定的统一样式</w:t>
      </w:r>
      <w:r>
        <w:rPr>
          <w:rFonts w:hint="eastAsia" w:ascii="宋体" w:hAnsi="宋体" w:eastAsia="仿宋_GB2312" w:cs="仿宋_GB2312"/>
          <w:color w:val="auto"/>
          <w:sz w:val="32"/>
          <w:szCs w:val="32"/>
        </w:rPr>
        <w:t>设置保护标识。保护标识应当在名录公布之日起一年内设置。</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保护标识具体样式由省文化和旅游主管部门会同革命遗址保护有关部门确定。</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第十五条</w:t>
      </w:r>
      <w:r>
        <w:rPr>
          <w:rFonts w:hint="eastAsia" w:ascii="宋体" w:hAnsi="宋体" w:eastAsia="仿宋_GB2312" w:cs="仿宋_GB2312"/>
          <w:color w:val="auto"/>
          <w:sz w:val="32"/>
          <w:szCs w:val="32"/>
        </w:rPr>
        <w:t xml:space="preserve">  县级以上人民政府革命遗址保护有关主管部门应当对列入保护名录的革命遗址进行记录、整理、建档，并运用信息技术实现革命遗址信息开放共享。</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第十六条</w:t>
      </w:r>
      <w:r>
        <w:rPr>
          <w:rFonts w:hint="eastAsia" w:ascii="宋体" w:hAnsi="宋体" w:eastAsia="仿宋_GB2312" w:cs="仿宋_GB2312"/>
          <w:color w:val="auto"/>
          <w:sz w:val="32"/>
          <w:szCs w:val="32"/>
        </w:rPr>
        <w:t xml:space="preserve">  县级以上人民政府及其相关主管部门在编制、批准有关专项规划时，应当充分考虑革命遗址保护的实际需要，加强对革命遗址周边区域的规划管理。</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 xml:space="preserve">第十七条 </w:t>
      </w:r>
      <w:r>
        <w:rPr>
          <w:rFonts w:hint="eastAsia" w:ascii="宋体" w:hAnsi="宋体" w:eastAsia="仿宋_GB2312" w:cs="仿宋_GB2312"/>
          <w:color w:val="auto"/>
          <w:sz w:val="32"/>
          <w:szCs w:val="32"/>
        </w:rPr>
        <w:t xml:space="preserve"> 县级以上人民政府可以对主题相近、区域相邻、功能相似的革命遗址，依法实施集中连片的整体性保护，保持</w:t>
      </w:r>
      <w:r>
        <w:rPr>
          <w:rFonts w:hint="eastAsia" w:ascii="宋体" w:hAnsi="宋体" w:eastAsia="仿宋_GB2312" w:cs="仿宋_GB2312"/>
          <w:color w:val="auto"/>
          <w:sz w:val="32"/>
          <w:szCs w:val="32"/>
          <w:lang w:eastAsia="zh-CN"/>
        </w:rPr>
        <w:t>其</w:t>
      </w:r>
      <w:r>
        <w:rPr>
          <w:rFonts w:hint="eastAsia" w:ascii="宋体" w:hAnsi="宋体" w:eastAsia="仿宋_GB2312" w:cs="仿宋_GB2312"/>
          <w:color w:val="auto"/>
          <w:sz w:val="32"/>
          <w:szCs w:val="32"/>
        </w:rPr>
        <w:t>历史风貌和空间尺度。</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 xml:space="preserve">第十八条 </w:t>
      </w:r>
      <w:r>
        <w:rPr>
          <w:rFonts w:hint="eastAsia" w:ascii="宋体" w:hAnsi="宋体" w:eastAsia="仿宋_GB2312" w:cs="仿宋_GB2312"/>
          <w:color w:val="auto"/>
          <w:sz w:val="32"/>
          <w:szCs w:val="32"/>
        </w:rPr>
        <w:t xml:space="preserve"> 禁止实施下列行为：</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（一）擅自迁移、拆除革命遗址的；</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（二）擅自在原址重建已全部毁坏的革命遗址的；</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（三）刻划、涂污、损坏革命遗址的；</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（四）擅自移动或者涂改、损毁革命遗址保护标识的；</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（五）损坏革命遗址保护性设施的；</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（六）违法排放污水、废气和其他污染物，污染革命遗址环境的；</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（七）违法存放易燃、易爆、放射性、毒害性、腐蚀性危险物品，危害革命遗址安全的；</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（八）破坏革命遗址历史风貌、有损革命遗址氛围的；</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（九）法律法规禁止的其他行为。</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 xml:space="preserve">第十九条 </w:t>
      </w:r>
      <w:r>
        <w:rPr>
          <w:rFonts w:hint="eastAsia" w:ascii="宋体" w:hAnsi="宋体" w:eastAsia="仿宋_GB2312" w:cs="仿宋_GB2312"/>
          <w:color w:val="auto"/>
          <w:sz w:val="32"/>
          <w:szCs w:val="32"/>
        </w:rPr>
        <w:t xml:space="preserve"> 革命遗址保护实行保护管理人制度。保护管理人按照革命遗址的产权归属确定：</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（一）国有革命遗址，其使用权人为保护管理人；</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（二）非国有革命遗址，其所有权人</w:t>
      </w:r>
      <w:r>
        <w:rPr>
          <w:rFonts w:hint="eastAsia" w:ascii="宋体" w:hAnsi="宋体" w:eastAsia="仿宋_GB2312" w:cs="仿宋_GB2312"/>
          <w:color w:val="auto"/>
          <w:sz w:val="32"/>
          <w:szCs w:val="32"/>
          <w:lang w:eastAsia="zh-CN"/>
        </w:rPr>
        <w:t>或者所有权人委托的人</w:t>
      </w:r>
      <w:r>
        <w:rPr>
          <w:rFonts w:hint="eastAsia" w:ascii="宋体" w:hAnsi="宋体" w:eastAsia="仿宋_GB2312" w:cs="仿宋_GB2312"/>
          <w:color w:val="auto"/>
          <w:sz w:val="32"/>
          <w:szCs w:val="32"/>
        </w:rPr>
        <w:t>为保护管理人；</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（三）革命遗址所有权不明确的，可以与使用权人协商确定保护管理人；无法确定保护管理人的，所在地的乡镇人民政府、街道办事处为保护管理人。</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县级人民政府革命遗址保护主管部门应当与革命遗址保护管理人签订保护协议，明确双方的权利和义务。</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第二十条</w:t>
      </w:r>
      <w:r>
        <w:rPr>
          <w:rFonts w:hint="eastAsia" w:ascii="宋体" w:hAnsi="宋体" w:eastAsia="仿宋_GB2312" w:cs="仿宋_GB2312"/>
          <w:color w:val="auto"/>
          <w:sz w:val="32"/>
          <w:szCs w:val="32"/>
        </w:rPr>
        <w:t xml:space="preserve">  革命遗址保护管理人应当履行下列职责：</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（一）对革命遗址进行保养、修缮和做好日常保洁等工作；</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（二）落实防火、防盗、防水、防虫、防坍塌等安全措施，</w:t>
      </w:r>
      <w:r>
        <w:rPr>
          <w:rFonts w:hint="eastAsia" w:ascii="宋体" w:hAnsi="宋体" w:eastAsia="仿宋_GB2312" w:cs="仿宋_GB2312"/>
          <w:color w:val="auto"/>
          <w:spacing w:val="-6"/>
          <w:sz w:val="32"/>
          <w:szCs w:val="32"/>
        </w:rPr>
        <w:t>发现重大安全隐患时，立即向有关部门报告并采取相应保护措施；</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（三）保持革命遗址原状，不得损毁或者擅自改建、拆除其所依存的建筑物、构筑物及其他设施；</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（四）加强日常巡查，及时发现并报告破坏革命遗址的行为；</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（五）配合有关部门对革命遗址进行检查、宣传和利用；</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（六）法律法规规定的其他保护职责。</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县级以上人民政府应当对保护管理人开展革命遗址保护工作给予支持。</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 xml:space="preserve">第二十一条 </w:t>
      </w:r>
      <w:r>
        <w:rPr>
          <w:rFonts w:hint="eastAsia" w:ascii="宋体" w:hAnsi="宋体" w:eastAsia="仿宋_GB2312" w:cs="仿宋_GB2312"/>
          <w:color w:val="auto"/>
          <w:sz w:val="32"/>
          <w:szCs w:val="32"/>
        </w:rPr>
        <w:t xml:space="preserve"> 因突发事件造成或者可能造成革命遗址严重损坏的，革命遗址保护管理人应当立即采取保护措施，并向有关主管部门或者所在地的人民政府报告；接到报告的主管部门或者所在地人民政府应当及时组织开展抢救性保护。</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 xml:space="preserve">第二十二条 </w:t>
      </w:r>
      <w:r>
        <w:rPr>
          <w:rFonts w:hint="eastAsia" w:ascii="宋体" w:hAnsi="宋体" w:eastAsia="仿宋_GB2312" w:cs="仿宋_GB2312"/>
          <w:color w:val="auto"/>
          <w:sz w:val="32"/>
          <w:szCs w:val="32"/>
        </w:rPr>
        <w:t xml:space="preserve"> 非国有革命遗址存在损毁危险，且革命遗址保护管理人不具备修缮能力的，所在地县级以上人民政府应当给予修缮帮助，或者在自愿、平等协商的基础上通过产权置换、购买、租赁等方式予以保护。</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第二十三条</w:t>
      </w:r>
      <w:r>
        <w:rPr>
          <w:rFonts w:hint="eastAsia" w:ascii="宋体" w:hAnsi="宋体" w:eastAsia="仿宋_GB2312" w:cs="仿宋_GB2312"/>
          <w:color w:val="auto"/>
          <w:sz w:val="32"/>
          <w:szCs w:val="32"/>
        </w:rPr>
        <w:t xml:space="preserve">  对革命遗址实施保养、修缮和保护性设施建设等活动，应当遵循不改变原状、不破坏历史风貌、避免过度干预的原则，不得损毁、改变主体结构及其附属设施。</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县级以上人民政府革命遗址保护主管部门应当指导和监督革命遗址保护管理人或者参与相关保护工作的社会力量最大限度地保持革命遗址本体及环境的原状。</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第二十四条</w:t>
      </w:r>
      <w:r>
        <w:rPr>
          <w:rFonts w:hint="eastAsia" w:ascii="宋体" w:hAnsi="宋体" w:eastAsia="仿宋_GB2312" w:cs="仿宋_GB2312"/>
          <w:color w:val="auto"/>
          <w:sz w:val="32"/>
          <w:szCs w:val="32"/>
        </w:rPr>
        <w:t xml:space="preserve">  县级以上人民政府及革命遗址保护相关主管部门应当开展革命遗址环境整治。对革命遗址周边区域已有的危害革命遗址安全、破坏革命遗址历史风貌或者环境氛围、污染革命遗址及其周边环境的设施，按照法律、行政法规的规定予以改造或者拆除。</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 xml:space="preserve">第二十五条 </w:t>
      </w:r>
      <w:r>
        <w:rPr>
          <w:rFonts w:hint="eastAsia" w:ascii="宋体" w:hAnsi="宋体" w:eastAsia="仿宋_GB2312" w:cs="仿宋_GB2312"/>
          <w:color w:val="auto"/>
          <w:sz w:val="32"/>
          <w:szCs w:val="32"/>
        </w:rPr>
        <w:t xml:space="preserve"> 建设工程选址，应当</w:t>
      </w:r>
      <w:r>
        <w:rPr>
          <w:rFonts w:hint="eastAsia" w:ascii="宋体" w:hAnsi="宋体" w:eastAsia="仿宋_GB2312" w:cs="仿宋_GB2312"/>
          <w:color w:val="auto"/>
          <w:sz w:val="32"/>
          <w:szCs w:val="32"/>
          <w:lang w:eastAsia="zh-CN"/>
        </w:rPr>
        <w:t>考虑</w:t>
      </w:r>
      <w:r>
        <w:rPr>
          <w:rFonts w:hint="eastAsia" w:ascii="宋体" w:hAnsi="宋体" w:eastAsia="仿宋_GB2312" w:cs="仿宋_GB2312"/>
          <w:color w:val="auto"/>
          <w:sz w:val="32"/>
          <w:szCs w:val="32"/>
        </w:rPr>
        <w:t>革命遗址</w:t>
      </w:r>
      <w:r>
        <w:rPr>
          <w:rFonts w:hint="eastAsia" w:ascii="宋体" w:hAnsi="宋体" w:eastAsia="仿宋_GB2312" w:cs="仿宋_GB2312"/>
          <w:color w:val="auto"/>
          <w:sz w:val="32"/>
          <w:szCs w:val="32"/>
          <w:lang w:eastAsia="zh-CN"/>
        </w:rPr>
        <w:t>保护需要。</w:t>
      </w:r>
      <w:r>
        <w:rPr>
          <w:rFonts w:hint="eastAsia" w:ascii="宋体" w:hAnsi="宋体" w:eastAsia="仿宋_GB2312" w:cs="仿宋_GB2312"/>
          <w:color w:val="auto"/>
          <w:sz w:val="32"/>
          <w:szCs w:val="32"/>
        </w:rPr>
        <w:t>因特殊情况不能避开的，应当对革命遗址实施原址保护。</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实施原址保护的，建设单位应当事先确定保护措施，保证革命遗址的安全和完整，不得破坏其历史风貌。</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属于不可移动文物、历史建筑、烈士纪念设施的革命遗址</w:t>
      </w:r>
      <w:r>
        <w:rPr>
          <w:rFonts w:hint="eastAsia" w:ascii="宋体" w:hAnsi="宋体" w:eastAsia="仿宋_GB2312" w:cs="仿宋_GB2312"/>
          <w:color w:val="auto"/>
          <w:sz w:val="32"/>
          <w:szCs w:val="32"/>
          <w:lang w:eastAsia="zh-CN"/>
        </w:rPr>
        <w:t>的</w:t>
      </w:r>
      <w:r>
        <w:rPr>
          <w:rFonts w:hint="eastAsia" w:ascii="宋体" w:hAnsi="宋体" w:eastAsia="仿宋_GB2312" w:cs="仿宋_GB2312"/>
          <w:color w:val="auto"/>
          <w:spacing w:val="-6"/>
          <w:sz w:val="32"/>
          <w:szCs w:val="32"/>
          <w:lang w:eastAsia="zh-CN"/>
        </w:rPr>
        <w:t>原址保护、迁</w:t>
      </w:r>
      <w:r>
        <w:rPr>
          <w:rFonts w:hint="eastAsia" w:ascii="宋体" w:hAnsi="宋体" w:eastAsia="仿宋_GB2312" w:cs="仿宋_GB2312"/>
          <w:color w:val="auto"/>
          <w:spacing w:val="-6"/>
          <w:sz w:val="32"/>
          <w:szCs w:val="32"/>
        </w:rPr>
        <w:t>移异地保护或者拆除，</w:t>
      </w:r>
      <w:r>
        <w:rPr>
          <w:rFonts w:hint="eastAsia" w:ascii="宋体" w:hAnsi="宋体" w:eastAsia="仿宋_GB2312" w:cs="仿宋_GB2312"/>
          <w:color w:val="auto"/>
          <w:spacing w:val="-6"/>
          <w:sz w:val="32"/>
          <w:szCs w:val="32"/>
          <w:lang w:eastAsia="zh-CN"/>
        </w:rPr>
        <w:t>按照有关法律法规的规定执行</w:t>
      </w:r>
      <w:r>
        <w:rPr>
          <w:rFonts w:hint="eastAsia" w:ascii="宋体" w:hAnsi="宋体" w:eastAsia="仿宋_GB2312" w:cs="仿宋_GB2312"/>
          <w:color w:val="auto"/>
          <w:spacing w:val="-6"/>
          <w:sz w:val="32"/>
          <w:szCs w:val="32"/>
        </w:rPr>
        <w:t>。</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default" w:ascii="宋体" w:hAnsi="宋体" w:eastAsia="仿宋_GB2312" w:cs="仿宋_GB2312"/>
          <w:color w:val="auto"/>
          <w:sz w:val="32"/>
          <w:szCs w:val="32"/>
          <w:lang w:val="en-US" w:eastAsia="zh-CN"/>
        </w:rPr>
      </w:pPr>
      <w:r>
        <w:rPr>
          <w:rFonts w:hint="eastAsia" w:ascii="宋体" w:hAnsi="宋体" w:eastAsia="仿宋_GB2312" w:cs="仿宋_GB2312"/>
          <w:color w:val="auto"/>
          <w:sz w:val="32"/>
          <w:szCs w:val="32"/>
        </w:rPr>
        <w:t>不属于不可移动文物、历史建筑、烈士纪念设施的其他革命遗址，因公共利益进行建设活动</w:t>
      </w:r>
      <w:r>
        <w:rPr>
          <w:rFonts w:hint="eastAsia" w:ascii="宋体" w:hAnsi="宋体" w:eastAsia="仿宋_GB2312" w:cs="仿宋_GB2312"/>
          <w:color w:val="auto"/>
          <w:sz w:val="32"/>
          <w:szCs w:val="32"/>
          <w:lang w:eastAsia="zh-CN"/>
        </w:rPr>
        <w:t>确需实施</w:t>
      </w:r>
      <w:r>
        <w:rPr>
          <w:rFonts w:hint="eastAsia" w:ascii="宋体" w:hAnsi="宋体" w:eastAsia="仿宋_GB2312" w:cs="仿宋_GB2312"/>
          <w:color w:val="auto"/>
          <w:sz w:val="32"/>
          <w:szCs w:val="32"/>
        </w:rPr>
        <w:t>迁移异地保护或者拆除</w:t>
      </w:r>
      <w:r>
        <w:rPr>
          <w:rFonts w:hint="eastAsia" w:ascii="宋体" w:hAnsi="宋体" w:eastAsia="仿宋_GB2312" w:cs="仿宋_GB2312"/>
          <w:color w:val="auto"/>
          <w:spacing w:val="-6"/>
          <w:sz w:val="32"/>
          <w:szCs w:val="32"/>
        </w:rPr>
        <w:t>的，应当报地级以上市人民政府</w:t>
      </w:r>
      <w:r>
        <w:rPr>
          <w:rFonts w:hint="eastAsia" w:ascii="宋体" w:hAnsi="宋体" w:eastAsia="仿宋_GB2312" w:cs="仿宋_GB2312"/>
          <w:color w:val="auto"/>
          <w:spacing w:val="-6"/>
          <w:sz w:val="32"/>
          <w:szCs w:val="32"/>
          <w:lang w:eastAsia="zh-CN"/>
        </w:rPr>
        <w:t>革命遗址保护</w:t>
      </w:r>
      <w:r>
        <w:rPr>
          <w:rFonts w:hint="eastAsia" w:ascii="宋体" w:hAnsi="宋体" w:eastAsia="仿宋_GB2312" w:cs="仿宋_GB2312"/>
          <w:color w:val="auto"/>
          <w:spacing w:val="-6"/>
          <w:sz w:val="32"/>
          <w:szCs w:val="32"/>
        </w:rPr>
        <w:t>有关主管部门批准。</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第二十</w:t>
      </w:r>
      <w:r>
        <w:rPr>
          <w:rFonts w:hint="eastAsia" w:ascii="宋体" w:hAnsi="宋体" w:eastAsia="黑体" w:cs="黑体"/>
          <w:color w:val="auto"/>
          <w:sz w:val="32"/>
          <w:szCs w:val="32"/>
          <w:lang w:eastAsia="zh-CN"/>
        </w:rPr>
        <w:t>六</w:t>
      </w:r>
      <w:r>
        <w:rPr>
          <w:rFonts w:hint="eastAsia" w:ascii="宋体" w:hAnsi="宋体" w:eastAsia="黑体" w:cs="黑体"/>
          <w:color w:val="auto"/>
          <w:sz w:val="32"/>
          <w:szCs w:val="32"/>
        </w:rPr>
        <w:t>条</w:t>
      </w:r>
      <w:r>
        <w:rPr>
          <w:rFonts w:hint="eastAsia" w:ascii="宋体" w:hAnsi="宋体" w:eastAsia="仿宋_GB2312" w:cs="仿宋_GB2312"/>
          <w:color w:val="auto"/>
          <w:sz w:val="32"/>
          <w:szCs w:val="32"/>
        </w:rPr>
        <w:t xml:space="preserve">  革命遗址已经损毁但具备修复条件的，革命遗址保护有关主管部门应当按照国家和省的规定组织修复工作。</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革命遗址已经损毁且无法修复的，由革命遗址保护有关主管部门在原址设立标识，搜集重要历史资料保存到当地博物馆或者档案馆。因</w:t>
      </w:r>
      <w:r>
        <w:rPr>
          <w:rFonts w:hint="eastAsia" w:ascii="宋体" w:hAnsi="宋体" w:eastAsia="仿宋_GB2312" w:cs="仿宋_GB2312"/>
          <w:color w:val="auto"/>
          <w:sz w:val="32"/>
          <w:szCs w:val="32"/>
          <w:lang w:eastAsia="zh-CN"/>
        </w:rPr>
        <w:t>价值重要</w:t>
      </w:r>
      <w:r>
        <w:rPr>
          <w:rFonts w:hint="eastAsia" w:ascii="宋体" w:hAnsi="宋体" w:eastAsia="仿宋_GB2312" w:cs="仿宋_GB2312"/>
          <w:color w:val="auto"/>
          <w:sz w:val="32"/>
          <w:szCs w:val="32"/>
        </w:rPr>
        <w:t>需要在原址重建的，应当按照国家有关规定办理。</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i/>
          <w:color w:val="auto"/>
          <w:sz w:val="32"/>
          <w:szCs w:val="32"/>
          <w:u w:val="single"/>
        </w:rPr>
      </w:pPr>
      <w:r>
        <w:rPr>
          <w:rFonts w:hint="eastAsia" w:ascii="宋体" w:hAnsi="宋体" w:eastAsia="黑体" w:cs="黑体"/>
          <w:color w:val="auto"/>
          <w:sz w:val="32"/>
          <w:szCs w:val="32"/>
        </w:rPr>
        <w:t>第二十</w:t>
      </w:r>
      <w:r>
        <w:rPr>
          <w:rFonts w:hint="eastAsia" w:ascii="宋体" w:hAnsi="宋体" w:eastAsia="黑体" w:cs="黑体"/>
          <w:color w:val="auto"/>
          <w:sz w:val="32"/>
          <w:szCs w:val="32"/>
          <w:lang w:eastAsia="zh-CN"/>
        </w:rPr>
        <w:t>七</w:t>
      </w:r>
      <w:r>
        <w:rPr>
          <w:rFonts w:hint="eastAsia" w:ascii="宋体" w:hAnsi="宋体" w:eastAsia="黑体" w:cs="黑体"/>
          <w:color w:val="auto"/>
          <w:sz w:val="32"/>
          <w:szCs w:val="32"/>
        </w:rPr>
        <w:t>条</w:t>
      </w:r>
      <w:r>
        <w:rPr>
          <w:rFonts w:hint="eastAsia" w:ascii="宋体" w:hAnsi="宋体" w:eastAsia="仿宋_GB2312" w:cs="仿宋_GB2312"/>
          <w:color w:val="auto"/>
          <w:sz w:val="32"/>
          <w:szCs w:val="32"/>
        </w:rPr>
        <w:t xml:space="preserve">  县级以上人民政府应当建立革命遗址保护检查评估机制，对本行政区域内的革命遗址保护状况进行监督检查和评估，对发现的问题，应当及时纠正、处理。</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第二十</w:t>
      </w:r>
      <w:r>
        <w:rPr>
          <w:rFonts w:hint="eastAsia" w:ascii="宋体" w:hAnsi="宋体" w:eastAsia="黑体" w:cs="黑体"/>
          <w:color w:val="auto"/>
          <w:sz w:val="32"/>
          <w:szCs w:val="32"/>
          <w:lang w:eastAsia="zh-CN"/>
        </w:rPr>
        <w:t>八</w:t>
      </w:r>
      <w:r>
        <w:rPr>
          <w:rFonts w:hint="eastAsia" w:ascii="宋体" w:hAnsi="宋体" w:eastAsia="黑体" w:cs="黑体"/>
          <w:color w:val="auto"/>
          <w:sz w:val="32"/>
          <w:szCs w:val="32"/>
        </w:rPr>
        <w:t xml:space="preserve">条 </w:t>
      </w:r>
      <w:r>
        <w:rPr>
          <w:rFonts w:hint="eastAsia" w:ascii="宋体" w:hAnsi="宋体" w:eastAsia="仿宋_GB2312" w:cs="仿宋_GB2312"/>
          <w:color w:val="auto"/>
          <w:sz w:val="32"/>
          <w:szCs w:val="32"/>
        </w:rPr>
        <w:t xml:space="preserve"> 在进行建设工程或者农业生产</w:t>
      </w:r>
      <w:r>
        <w:rPr>
          <w:rFonts w:hint="eastAsia" w:ascii="宋体" w:hAnsi="宋体" w:eastAsia="仿宋_GB2312" w:cs="仿宋_GB2312"/>
          <w:color w:val="auto"/>
          <w:sz w:val="32"/>
          <w:szCs w:val="32"/>
          <w:lang w:eastAsia="zh-CN"/>
        </w:rPr>
        <w:t>等活动</w:t>
      </w:r>
      <w:r>
        <w:rPr>
          <w:rFonts w:hint="eastAsia" w:ascii="宋体" w:hAnsi="宋体" w:eastAsia="仿宋_GB2312" w:cs="仿宋_GB2312"/>
          <w:color w:val="auto"/>
          <w:sz w:val="32"/>
          <w:szCs w:val="32"/>
        </w:rPr>
        <w:t>中，任何单位或者个人发现革命遗址，应当保护现场，并立即向所在地的县级人民政府革命遗址保护有关主管部门报告。革命遗址保护有关主管部门应当依法处理。</w:t>
      </w:r>
    </w:p>
    <w:p>
      <w:pPr>
        <w:keepNext w:val="0"/>
        <w:keepLines w:val="0"/>
        <w:pageBreakBefore w:val="0"/>
        <w:widowControl w:val="0"/>
        <w:kinsoku/>
        <w:overflowPunct w:val="0"/>
        <w:topLinePunct w:val="0"/>
        <w:autoSpaceDE/>
        <w:autoSpaceDN/>
        <w:bidi w:val="0"/>
        <w:spacing w:line="590" w:lineRule="exact"/>
        <w:jc w:val="center"/>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 xml:space="preserve"> </w:t>
      </w:r>
    </w:p>
    <w:p>
      <w:pPr>
        <w:keepNext w:val="0"/>
        <w:keepLines w:val="0"/>
        <w:pageBreakBefore w:val="0"/>
        <w:widowControl w:val="0"/>
        <w:kinsoku/>
        <w:overflowPunct w:val="0"/>
        <w:topLinePunct w:val="0"/>
        <w:autoSpaceDE/>
        <w:autoSpaceDN/>
        <w:bidi w:val="0"/>
        <w:spacing w:line="590" w:lineRule="exact"/>
        <w:jc w:val="center"/>
        <w:textAlignment w:val="auto"/>
        <w:rPr>
          <w:rFonts w:hint="eastAsia" w:ascii="宋体" w:hAnsi="宋体" w:eastAsia="黑体" w:cs="黑体"/>
          <w:color w:val="auto"/>
          <w:sz w:val="32"/>
          <w:szCs w:val="32"/>
        </w:rPr>
      </w:pPr>
      <w:r>
        <w:rPr>
          <w:rFonts w:hint="eastAsia" w:ascii="宋体" w:hAnsi="宋体" w:eastAsia="黑体" w:cs="黑体"/>
          <w:color w:val="auto"/>
          <w:sz w:val="32"/>
          <w:szCs w:val="32"/>
        </w:rPr>
        <w:t>第三章  合理利用</w:t>
      </w:r>
    </w:p>
    <w:p>
      <w:pPr>
        <w:keepNext w:val="0"/>
        <w:keepLines w:val="0"/>
        <w:pageBreakBefore w:val="0"/>
        <w:widowControl w:val="0"/>
        <w:kinsoku/>
        <w:overflowPunct w:val="0"/>
        <w:topLinePunct w:val="0"/>
        <w:autoSpaceDE/>
        <w:autoSpaceDN/>
        <w:bidi w:val="0"/>
        <w:spacing w:line="590" w:lineRule="exact"/>
        <w:jc w:val="center"/>
        <w:textAlignment w:val="auto"/>
        <w:rPr>
          <w:rFonts w:hint="eastAsia" w:ascii="宋体" w:hAnsi="宋体" w:eastAsia="仿宋_GB2312" w:cs="仿宋_GB2312"/>
          <w:color w:val="auto"/>
          <w:sz w:val="32"/>
          <w:szCs w:val="32"/>
        </w:rPr>
      </w:pP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w:t>
      </w:r>
      <w:r>
        <w:rPr>
          <w:rFonts w:hint="eastAsia" w:ascii="宋体" w:hAnsi="宋体" w:eastAsia="黑体" w:cs="黑体"/>
          <w:color w:val="auto"/>
          <w:sz w:val="32"/>
          <w:szCs w:val="32"/>
          <w:lang w:eastAsia="zh-CN"/>
        </w:rPr>
        <w:t>二十九</w:t>
      </w:r>
      <w:r>
        <w:rPr>
          <w:rFonts w:hint="eastAsia" w:ascii="宋体" w:hAnsi="宋体" w:eastAsia="黑体" w:cs="黑体"/>
          <w:color w:val="auto"/>
          <w:sz w:val="32"/>
          <w:szCs w:val="32"/>
        </w:rPr>
        <w:t>条</w:t>
      </w:r>
      <w:r>
        <w:rPr>
          <w:rFonts w:hint="eastAsia" w:ascii="宋体" w:hAnsi="宋体" w:eastAsia="仿宋_GB2312" w:cs="黑体"/>
          <w:color w:val="auto"/>
          <w:sz w:val="32"/>
          <w:szCs w:val="32"/>
        </w:rPr>
        <w:t xml:space="preserve"> </w:t>
      </w:r>
      <w:r>
        <w:rPr>
          <w:rFonts w:hint="eastAsia" w:ascii="宋体" w:hAnsi="宋体" w:eastAsia="仿宋_GB2312" w:cs="仿宋_GB2312"/>
          <w:color w:val="auto"/>
          <w:sz w:val="32"/>
          <w:szCs w:val="32"/>
        </w:rPr>
        <w:t xml:space="preserve"> 县级以上人民政府及有关主管部门应当将革命遗址的保护利用纳入宣传教育、红色旅游、乡村振兴等规划，在确保革命遗址安全和不破坏革命遗址历史风貌的前提下，推动合理利用革命遗址。</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革命遗址的利用应当与革命历史氛围和场所精神相适应。禁止在公共场所、互联网或者利用广播电视、电影、出版物等，歪曲、丑化、亵渎</w:t>
      </w:r>
      <w:r>
        <w:rPr>
          <w:rFonts w:hint="eastAsia" w:ascii="宋体" w:hAnsi="宋体" w:eastAsia="仿宋_GB2312" w:cs="仿宋_GB2312"/>
          <w:color w:val="auto"/>
          <w:sz w:val="32"/>
          <w:szCs w:val="32"/>
          <w:lang w:eastAsia="zh-CN"/>
        </w:rPr>
        <w:t>、</w:t>
      </w:r>
      <w:r>
        <w:rPr>
          <w:rFonts w:hint="eastAsia" w:ascii="宋体" w:hAnsi="宋体" w:eastAsia="仿宋_GB2312" w:cs="仿宋_GB2312"/>
          <w:color w:val="auto"/>
          <w:sz w:val="32"/>
          <w:szCs w:val="32"/>
        </w:rPr>
        <w:t>否定与革命遗址相关的英雄烈士事迹、历史事件和精神文化。</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第三十条</w:t>
      </w:r>
      <w:r>
        <w:rPr>
          <w:rFonts w:hint="eastAsia" w:ascii="宋体" w:hAnsi="宋体" w:eastAsia="仿宋_GB2312" w:cs="仿宋_GB2312"/>
          <w:color w:val="auto"/>
          <w:sz w:val="32"/>
          <w:szCs w:val="32"/>
        </w:rPr>
        <w:t xml:space="preserve">  具备开放条件的国有革命遗址，应当按照国家有关规定，免费向社会公众开放。尚不具备开放条件或者确已作他用的，应当在重点区域开辟宣传展示空间，或者按照规定设立纪念标志、铭牌说明。</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县级以上人民政府可以通过资助保护等方式，推动非国有革命遗址向社会公众开放。</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革命遗址保护管理单位应当规范开放服务管理，引导社会公众文明参观，依法制止</w:t>
      </w:r>
      <w:r>
        <w:rPr>
          <w:rFonts w:hint="eastAsia" w:ascii="宋体" w:hAnsi="宋体" w:eastAsia="仿宋_GB2312" w:cs="仿宋_GB2312"/>
          <w:color w:val="auto"/>
          <w:sz w:val="32"/>
          <w:szCs w:val="32"/>
          <w:lang w:eastAsia="zh-CN"/>
        </w:rPr>
        <w:t>有损</w:t>
      </w:r>
      <w:r>
        <w:rPr>
          <w:rFonts w:hint="eastAsia" w:ascii="宋体" w:hAnsi="宋体" w:eastAsia="仿宋_GB2312" w:cs="仿宋_GB2312"/>
          <w:color w:val="auto"/>
          <w:sz w:val="32"/>
          <w:szCs w:val="32"/>
        </w:rPr>
        <w:t>革命遗址展示氛围的行为。</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第三十</w:t>
      </w:r>
      <w:r>
        <w:rPr>
          <w:rFonts w:hint="eastAsia" w:ascii="宋体" w:hAnsi="宋体" w:eastAsia="黑体" w:cs="黑体"/>
          <w:color w:val="auto"/>
          <w:sz w:val="32"/>
          <w:szCs w:val="32"/>
          <w:lang w:eastAsia="zh-CN"/>
        </w:rPr>
        <w:t>一</w:t>
      </w:r>
      <w:r>
        <w:rPr>
          <w:rFonts w:hint="eastAsia" w:ascii="宋体" w:hAnsi="宋体" w:eastAsia="黑体" w:cs="黑体"/>
          <w:color w:val="auto"/>
          <w:sz w:val="32"/>
          <w:szCs w:val="32"/>
        </w:rPr>
        <w:t>条</w:t>
      </w:r>
      <w:r>
        <w:rPr>
          <w:rFonts w:hint="eastAsia" w:ascii="宋体" w:hAnsi="宋体" w:eastAsia="仿宋_GB2312" w:cs="仿宋_GB2312"/>
          <w:color w:val="auto"/>
          <w:sz w:val="32"/>
          <w:szCs w:val="32"/>
        </w:rPr>
        <w:t xml:space="preserve">  县级以上人民政府应当加强对革命博物馆、纪念馆、陈列馆、展览馆、革命烈士陵园等的规划建设，推动具备条件的革命遗址开辟陈列展览场所；支持向公众开放的革命遗址改善藏品保管、陈列展览设施设备，充分发挥爱国主义和革命传统教育功能。</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纪念设施新建或者改扩建的，应当按照相关规定逐级申报批准后方可组织实施。</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第三十</w:t>
      </w:r>
      <w:r>
        <w:rPr>
          <w:rFonts w:hint="eastAsia" w:ascii="宋体" w:hAnsi="宋体" w:eastAsia="黑体" w:cs="黑体"/>
          <w:color w:val="auto"/>
          <w:sz w:val="32"/>
          <w:szCs w:val="32"/>
          <w:lang w:eastAsia="zh-CN"/>
        </w:rPr>
        <w:t>二</w:t>
      </w:r>
      <w:r>
        <w:rPr>
          <w:rFonts w:hint="eastAsia" w:ascii="宋体" w:hAnsi="宋体" w:eastAsia="黑体" w:cs="黑体"/>
          <w:color w:val="auto"/>
          <w:sz w:val="32"/>
          <w:szCs w:val="32"/>
        </w:rPr>
        <w:t>条</w:t>
      </w:r>
      <w:r>
        <w:rPr>
          <w:rFonts w:hint="eastAsia" w:ascii="宋体" w:hAnsi="宋体" w:eastAsia="仿宋_GB2312" w:cs="仿宋_GB2312"/>
          <w:color w:val="auto"/>
          <w:sz w:val="32"/>
          <w:szCs w:val="32"/>
        </w:rPr>
        <w:t xml:space="preserve">  县级以上革命遗址保护有关部门和机构应当依照各自职责</w:t>
      </w:r>
      <w:r>
        <w:rPr>
          <w:rFonts w:hint="eastAsia" w:ascii="宋体" w:hAnsi="宋体" w:eastAsia="仿宋_GB2312" w:cs="仿宋_GB2312"/>
          <w:color w:val="auto"/>
          <w:sz w:val="32"/>
          <w:szCs w:val="32"/>
          <w:lang w:eastAsia="zh-CN"/>
        </w:rPr>
        <w:t>，</w:t>
      </w:r>
      <w:r>
        <w:rPr>
          <w:rFonts w:hint="eastAsia" w:ascii="宋体" w:hAnsi="宋体" w:eastAsia="仿宋_GB2312" w:cs="仿宋_GB2312"/>
          <w:color w:val="auto"/>
          <w:sz w:val="32"/>
          <w:szCs w:val="32"/>
        </w:rPr>
        <w:t>对革命遗址的有关陈列展览内容和解说词进行指导和管理，把好政治关和史实关，确保展陈内容和讲解内容的准确性、完整性和权威性。</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县级以上革命遗址保护有关部门应当完善革命遗址改陈布展管理机制和支持政策，推动陈列展览的举办者适时进行改陈布展，及时补充体现时代精神的陈列展览内容。</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革命遗址陈列展览的举办者可以利用图片、史料和雕塑等陈列品，适度运用现代科技手段，通过增加体验环节等形式，增强陈列展览的直观性、互动性。</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鼓励和支持公民、法人和其他组织以捐赠或出借的形式，向革命遗址陈列展览举办者提供与革命遗址相关的重要实物、文献档案、图像、音频视频、艺术创作作品等陈列展览品。</w:t>
      </w:r>
    </w:p>
    <w:p>
      <w:pPr>
        <w:keepNext w:val="0"/>
        <w:keepLines w:val="0"/>
        <w:pageBreakBefore w:val="0"/>
        <w:widowControl w:val="0"/>
        <w:kinsoku/>
        <w:overflowPunct w:val="0"/>
        <w:topLinePunct w:val="0"/>
        <w:autoSpaceDE/>
        <w:autoSpaceDN/>
        <w:bidi w:val="0"/>
        <w:spacing w:line="590" w:lineRule="exact"/>
        <w:ind w:firstLine="608" w:firstLineChars="200"/>
        <w:textAlignment w:val="auto"/>
        <w:rPr>
          <w:rFonts w:hint="eastAsia" w:ascii="宋体" w:hAnsi="宋体" w:eastAsia="仿宋_GB2312" w:cs="仿宋_GB2312"/>
          <w:color w:val="auto"/>
          <w:sz w:val="32"/>
          <w:szCs w:val="32"/>
        </w:rPr>
      </w:pPr>
      <w:r>
        <w:rPr>
          <w:rFonts w:hint="eastAsia" w:ascii="宋体" w:hAnsi="宋体" w:eastAsia="黑体" w:cs="黑体"/>
          <w:color w:val="auto"/>
          <w:spacing w:val="-6"/>
          <w:sz w:val="32"/>
          <w:szCs w:val="32"/>
        </w:rPr>
        <w:t>第三十</w:t>
      </w:r>
      <w:r>
        <w:rPr>
          <w:rFonts w:hint="eastAsia" w:ascii="宋体" w:hAnsi="宋体" w:eastAsia="黑体" w:cs="黑体"/>
          <w:color w:val="auto"/>
          <w:spacing w:val="-6"/>
          <w:sz w:val="32"/>
          <w:szCs w:val="32"/>
          <w:lang w:eastAsia="zh-CN"/>
        </w:rPr>
        <w:t>三</w:t>
      </w:r>
      <w:r>
        <w:rPr>
          <w:rFonts w:hint="eastAsia" w:ascii="宋体" w:hAnsi="宋体" w:eastAsia="黑体" w:cs="黑体"/>
          <w:color w:val="auto"/>
          <w:spacing w:val="-6"/>
          <w:sz w:val="32"/>
          <w:szCs w:val="32"/>
        </w:rPr>
        <w:t>条</w:t>
      </w:r>
      <w:r>
        <w:rPr>
          <w:rFonts w:hint="eastAsia" w:ascii="宋体" w:hAnsi="宋体" w:eastAsia="仿宋_GB2312" w:cs="仿宋_GB2312"/>
          <w:color w:val="auto"/>
          <w:spacing w:val="-6"/>
          <w:sz w:val="32"/>
          <w:szCs w:val="32"/>
        </w:rPr>
        <w:t xml:space="preserve">  县级以上人民政府应当组</w:t>
      </w:r>
      <w:r>
        <w:rPr>
          <w:rFonts w:hint="eastAsia" w:ascii="宋体" w:hAnsi="宋体" w:eastAsia="仿宋_GB2312" w:cs="仿宋_GB2312"/>
          <w:color w:val="auto"/>
          <w:sz w:val="32"/>
          <w:szCs w:val="32"/>
        </w:rPr>
        <w:t>织</w:t>
      </w:r>
      <w:r>
        <w:rPr>
          <w:rFonts w:hint="eastAsia" w:ascii="宋体" w:hAnsi="宋体" w:eastAsia="仿宋_GB2312" w:cs="仿宋_GB2312"/>
          <w:color w:val="auto"/>
          <w:spacing w:val="-6"/>
          <w:sz w:val="32"/>
          <w:szCs w:val="32"/>
        </w:rPr>
        <w:t>开展与革命遗址有关的理论与应用研究，收集、整理、编纂和出</w:t>
      </w:r>
      <w:r>
        <w:rPr>
          <w:rFonts w:hint="eastAsia" w:ascii="宋体" w:hAnsi="宋体" w:eastAsia="仿宋_GB2312" w:cs="仿宋_GB2312"/>
          <w:color w:val="auto"/>
          <w:sz w:val="32"/>
          <w:szCs w:val="32"/>
        </w:rPr>
        <w:t>版革命遗址相关资料，挖掘展示革命遗址的文化内涵和历史价值。</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鼓励和支持高等学校、研究机构、档案文献机构开展革命遗址保护利用的研究与资料整理工作。</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第三十</w:t>
      </w:r>
      <w:r>
        <w:rPr>
          <w:rFonts w:hint="eastAsia" w:ascii="宋体" w:hAnsi="宋体" w:eastAsia="黑体" w:cs="黑体"/>
          <w:color w:val="auto"/>
          <w:sz w:val="32"/>
          <w:szCs w:val="32"/>
          <w:lang w:eastAsia="zh-CN"/>
        </w:rPr>
        <w:t>四</w:t>
      </w:r>
      <w:r>
        <w:rPr>
          <w:rFonts w:hint="eastAsia" w:ascii="宋体" w:hAnsi="宋体" w:eastAsia="黑体" w:cs="黑体"/>
          <w:color w:val="auto"/>
          <w:sz w:val="32"/>
          <w:szCs w:val="32"/>
        </w:rPr>
        <w:t>条</w:t>
      </w:r>
      <w:r>
        <w:rPr>
          <w:rFonts w:hint="eastAsia" w:ascii="宋体" w:hAnsi="宋体" w:eastAsia="仿宋_GB2312" w:cs="仿宋_GB2312"/>
          <w:color w:val="auto"/>
          <w:sz w:val="32"/>
          <w:szCs w:val="32"/>
        </w:rPr>
        <w:t xml:space="preserve">  县级以上人民政府及有关主管部门应当支持革命遗址相关文艺作品的创作和传播</w:t>
      </w:r>
      <w:r>
        <w:rPr>
          <w:rFonts w:hint="eastAsia" w:ascii="宋体" w:hAnsi="宋体" w:eastAsia="仿宋_GB2312" w:cs="仿宋_GB2312"/>
          <w:iCs/>
          <w:color w:val="auto"/>
          <w:sz w:val="32"/>
          <w:szCs w:val="32"/>
        </w:rPr>
        <w:t>，</w:t>
      </w:r>
      <w:r>
        <w:rPr>
          <w:rFonts w:hint="eastAsia" w:ascii="宋体" w:hAnsi="宋体" w:eastAsia="仿宋_GB2312" w:cs="仿宋_GB2312"/>
          <w:color w:val="auto"/>
          <w:sz w:val="32"/>
          <w:szCs w:val="32"/>
        </w:rPr>
        <w:t>运用报纸、广播电视、图书、影视作品、互联网、新媒体等信息媒介，利用红色资源手机应用软件、网上纪念馆等现代传播形式，推动红色文化宣传展示</w:t>
      </w:r>
      <w:r>
        <w:rPr>
          <w:rFonts w:hint="eastAsia" w:ascii="宋体" w:hAnsi="宋体" w:cs="仿宋_GB2312"/>
          <w:color w:val="auto"/>
          <w:sz w:val="32"/>
          <w:szCs w:val="32"/>
          <w:lang w:eastAsia="zh-CN"/>
        </w:rPr>
        <w:t>和</w:t>
      </w:r>
      <w:r>
        <w:rPr>
          <w:rFonts w:hint="eastAsia" w:ascii="宋体" w:hAnsi="宋体" w:eastAsia="仿宋_GB2312" w:cs="仿宋_GB2312"/>
          <w:color w:val="auto"/>
          <w:sz w:val="32"/>
          <w:szCs w:val="32"/>
        </w:rPr>
        <w:t>在线集中推广。</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利用革命遗址拍摄影视作品或者举办大型文化活动的，应当</w:t>
      </w:r>
      <w:r>
        <w:rPr>
          <w:rFonts w:hint="eastAsia" w:ascii="宋体" w:hAnsi="宋体" w:eastAsia="仿宋_GB2312" w:cs="仿宋_GB2312"/>
          <w:color w:val="auto"/>
          <w:spacing w:val="-6"/>
          <w:sz w:val="32"/>
          <w:szCs w:val="32"/>
        </w:rPr>
        <w:t>征求革命遗址所在地的县级人民政府革命遗址保护主管部门意见。</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第三十</w:t>
      </w:r>
      <w:r>
        <w:rPr>
          <w:rFonts w:hint="eastAsia" w:ascii="宋体" w:hAnsi="宋体" w:eastAsia="黑体" w:cs="黑体"/>
          <w:color w:val="auto"/>
          <w:sz w:val="32"/>
          <w:szCs w:val="32"/>
          <w:lang w:eastAsia="zh-CN"/>
        </w:rPr>
        <w:t>五</w:t>
      </w:r>
      <w:r>
        <w:rPr>
          <w:rFonts w:hint="eastAsia" w:ascii="宋体" w:hAnsi="宋体" w:eastAsia="黑体" w:cs="黑体"/>
          <w:color w:val="auto"/>
          <w:sz w:val="32"/>
          <w:szCs w:val="32"/>
        </w:rPr>
        <w:t>条</w:t>
      </w:r>
      <w:r>
        <w:rPr>
          <w:rFonts w:hint="eastAsia" w:ascii="宋体" w:hAnsi="宋体" w:eastAsia="仿宋_GB2312" w:cs="仿宋_GB2312"/>
          <w:color w:val="auto"/>
          <w:sz w:val="32"/>
          <w:szCs w:val="32"/>
        </w:rPr>
        <w:t xml:space="preserve">  县级以上人民政府及有关主管部门应当依托革命遗址，建设爱国主义教育、中国共产党党史教育、国防教育、中小学课外教育等基地，结合</w:t>
      </w:r>
      <w:r>
        <w:rPr>
          <w:rFonts w:hint="eastAsia" w:ascii="宋体" w:hAnsi="宋体" w:eastAsia="仿宋_GB2312" w:cs="仿宋_GB2312"/>
          <w:color w:val="auto"/>
          <w:sz w:val="32"/>
          <w:szCs w:val="32"/>
          <w:lang w:eastAsia="zh-CN"/>
        </w:rPr>
        <w:t>重大历史事件、重要历史人物、中华民族传统节庆</w:t>
      </w:r>
      <w:r>
        <w:rPr>
          <w:rFonts w:hint="eastAsia" w:ascii="宋体" w:hAnsi="宋体" w:eastAsia="仿宋_GB2312" w:cs="仿宋_GB2312"/>
          <w:color w:val="auto"/>
          <w:sz w:val="32"/>
          <w:szCs w:val="32"/>
        </w:rPr>
        <w:t>和烈士纪念日等重要纪念日</w:t>
      </w:r>
      <w:r>
        <w:rPr>
          <w:rFonts w:hint="eastAsia" w:ascii="宋体" w:hAnsi="宋体" w:eastAsia="仿宋_GB2312" w:cs="仿宋_GB2312"/>
          <w:color w:val="auto"/>
          <w:sz w:val="32"/>
          <w:szCs w:val="32"/>
          <w:lang w:eastAsia="zh-CN"/>
        </w:rPr>
        <w:t>，</w:t>
      </w:r>
      <w:r>
        <w:rPr>
          <w:rFonts w:hint="eastAsia" w:ascii="宋体" w:hAnsi="宋体" w:eastAsia="仿宋_GB2312" w:cs="仿宋_GB2312"/>
          <w:color w:val="auto"/>
          <w:sz w:val="32"/>
          <w:szCs w:val="32"/>
        </w:rPr>
        <w:t>组织开展各类</w:t>
      </w:r>
      <w:r>
        <w:rPr>
          <w:rFonts w:hint="eastAsia" w:ascii="宋体" w:hAnsi="宋体" w:eastAsia="仿宋_GB2312" w:cs="仿宋_GB2312"/>
          <w:color w:val="auto"/>
          <w:sz w:val="32"/>
          <w:szCs w:val="32"/>
          <w:lang w:eastAsia="zh-CN"/>
        </w:rPr>
        <w:t>教育</w:t>
      </w:r>
      <w:r>
        <w:rPr>
          <w:rFonts w:hint="eastAsia" w:ascii="宋体" w:hAnsi="宋体" w:eastAsia="仿宋_GB2312" w:cs="仿宋_GB2312"/>
          <w:color w:val="auto"/>
          <w:sz w:val="32"/>
          <w:szCs w:val="32"/>
        </w:rPr>
        <w:t>活动，弘扬英雄烈士精神，发挥革命遗址的爱国主义和革命传统教育功能。</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教育</w:t>
      </w:r>
      <w:r>
        <w:rPr>
          <w:rFonts w:hint="eastAsia" w:ascii="宋体" w:hAnsi="宋体" w:eastAsia="仿宋_GB2312" w:cs="仿宋_GB2312"/>
          <w:iCs/>
          <w:color w:val="auto"/>
          <w:sz w:val="32"/>
          <w:szCs w:val="32"/>
        </w:rPr>
        <w:t>主管</w:t>
      </w:r>
      <w:r>
        <w:rPr>
          <w:rFonts w:hint="eastAsia" w:ascii="宋体" w:hAnsi="宋体" w:eastAsia="仿宋_GB2312" w:cs="仿宋_GB2312"/>
          <w:color w:val="auto"/>
          <w:sz w:val="32"/>
          <w:szCs w:val="32"/>
        </w:rPr>
        <w:t>部门、</w:t>
      </w:r>
      <w:r>
        <w:rPr>
          <w:rFonts w:hint="eastAsia" w:ascii="宋体" w:hAnsi="宋体" w:eastAsia="仿宋_GB2312" w:cs="仿宋_GB2312"/>
          <w:color w:val="auto"/>
          <w:sz w:val="32"/>
          <w:szCs w:val="32"/>
          <w:lang w:eastAsia="zh-CN"/>
        </w:rPr>
        <w:t>各级</w:t>
      </w:r>
      <w:r>
        <w:rPr>
          <w:rFonts w:hint="eastAsia" w:ascii="宋体" w:hAnsi="宋体" w:eastAsia="仿宋_GB2312" w:cs="仿宋_GB2312"/>
          <w:color w:val="auto"/>
          <w:sz w:val="32"/>
          <w:szCs w:val="32"/>
        </w:rPr>
        <w:t>各类学校、共青团和少先队组织应当组织青少年学生到革命遗址开展研学和现场教学活动。</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革命遗址保护管理单位应当与周边学校、国家机关、社会团体、企事业单位、城乡社区建立共建共享机制，有计划地开展面向学生、机关干部和各界群众的参观、学习、培训活动。</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第三十</w:t>
      </w:r>
      <w:r>
        <w:rPr>
          <w:rFonts w:hint="eastAsia" w:ascii="宋体" w:hAnsi="宋体" w:eastAsia="黑体" w:cs="黑体"/>
          <w:color w:val="auto"/>
          <w:sz w:val="32"/>
          <w:szCs w:val="32"/>
          <w:lang w:eastAsia="zh-CN"/>
        </w:rPr>
        <w:t>六</w:t>
      </w:r>
      <w:r>
        <w:rPr>
          <w:rFonts w:hint="eastAsia" w:ascii="宋体" w:hAnsi="宋体" w:eastAsia="黑体" w:cs="黑体"/>
          <w:color w:val="auto"/>
          <w:sz w:val="32"/>
          <w:szCs w:val="32"/>
        </w:rPr>
        <w:t xml:space="preserve">条 </w:t>
      </w:r>
      <w:r>
        <w:rPr>
          <w:rFonts w:hint="eastAsia" w:ascii="宋体" w:hAnsi="宋体" w:eastAsia="仿宋_GB2312" w:cs="仿宋_GB2312"/>
          <w:color w:val="auto"/>
          <w:sz w:val="32"/>
          <w:szCs w:val="32"/>
        </w:rPr>
        <w:t xml:space="preserve"> 县级以上人民政府及其文化和旅游主管部门应当</w:t>
      </w:r>
      <w:r>
        <w:rPr>
          <w:rFonts w:hint="eastAsia" w:ascii="宋体" w:hAnsi="宋体" w:eastAsia="仿宋_GB2312" w:cs="仿宋_GB2312"/>
          <w:iCs/>
          <w:color w:val="auto"/>
          <w:sz w:val="32"/>
          <w:szCs w:val="32"/>
        </w:rPr>
        <w:t>加强对红色旅游的统筹规划</w:t>
      </w:r>
      <w:r>
        <w:rPr>
          <w:rFonts w:hint="eastAsia" w:ascii="宋体" w:hAnsi="宋体" w:eastAsia="仿宋_GB2312" w:cs="仿宋_GB2312"/>
          <w:color w:val="auto"/>
          <w:sz w:val="32"/>
          <w:szCs w:val="32"/>
        </w:rPr>
        <w:t>，以革命遗址为支撑，推动红色旅游与自然生态、滨海休闲、历史文化、民族风情等旅游项目的融合发展，培育和打造红色旅游精品路线、红色旅游品牌和精品景区，带动区域经济发展。</w:t>
      </w:r>
    </w:p>
    <w:p>
      <w:pPr>
        <w:keepNext w:val="0"/>
        <w:keepLines w:val="0"/>
        <w:pageBreakBefore w:val="0"/>
        <w:widowControl w:val="0"/>
        <w:kinsoku/>
        <w:overflowPunct w:val="0"/>
        <w:topLinePunct w:val="0"/>
        <w:autoSpaceDE/>
        <w:autoSpaceDN/>
        <w:bidi w:val="0"/>
        <w:spacing w:line="590" w:lineRule="exact"/>
        <w:ind w:firstLine="632" w:firstLineChars="200"/>
        <w:jc w:val="left"/>
        <w:textAlignment w:val="auto"/>
        <w:rPr>
          <w:rFonts w:hint="eastAsia" w:ascii="宋体" w:hAnsi="宋体" w:eastAsia="黑体" w:cs="黑体"/>
          <w:color w:val="auto"/>
          <w:sz w:val="32"/>
          <w:szCs w:val="32"/>
        </w:rPr>
      </w:pPr>
      <w:r>
        <w:rPr>
          <w:rFonts w:hint="eastAsia" w:ascii="宋体" w:hAnsi="宋体" w:eastAsia="仿宋_GB2312" w:cs="仿宋_GB2312"/>
          <w:color w:val="auto"/>
          <w:sz w:val="32"/>
          <w:szCs w:val="32"/>
        </w:rPr>
        <w:t>县级以上人民政府自然资源、交通运输、住房城乡建设、文化和旅游、公安等有关主管部门在</w:t>
      </w:r>
      <w:r>
        <w:rPr>
          <w:rFonts w:hint="eastAsia" w:ascii="宋体" w:hAnsi="宋体" w:eastAsia="仿宋_GB2312" w:cs="仿宋_GB2312"/>
          <w:iCs/>
          <w:color w:val="auto"/>
          <w:sz w:val="32"/>
          <w:szCs w:val="32"/>
        </w:rPr>
        <w:t>制作</w:t>
      </w:r>
      <w:r>
        <w:rPr>
          <w:rFonts w:hint="eastAsia" w:ascii="宋体" w:hAnsi="宋体" w:eastAsia="仿宋_GB2312" w:cs="仿宋_GB2312"/>
          <w:color w:val="auto"/>
          <w:sz w:val="32"/>
          <w:szCs w:val="32"/>
        </w:rPr>
        <w:t>辖区地图与路标指引、开发公众服务平台、建设公交站台、设置旅游交通标志和设施标识牌</w:t>
      </w:r>
      <w:r>
        <w:rPr>
          <w:rFonts w:hint="eastAsia" w:ascii="宋体" w:hAnsi="宋体" w:eastAsia="仿宋_GB2312" w:cs="仿宋_GB2312"/>
          <w:iCs/>
          <w:color w:val="auto"/>
          <w:sz w:val="32"/>
          <w:szCs w:val="32"/>
        </w:rPr>
        <w:t>时</w:t>
      </w:r>
      <w:r>
        <w:rPr>
          <w:rFonts w:hint="eastAsia" w:ascii="宋体" w:hAnsi="宋体" w:eastAsia="仿宋_GB2312" w:cs="仿宋_GB2312"/>
          <w:color w:val="auto"/>
          <w:sz w:val="32"/>
          <w:szCs w:val="32"/>
        </w:rPr>
        <w:t>，</w:t>
      </w:r>
      <w:r>
        <w:rPr>
          <w:rFonts w:hint="eastAsia" w:ascii="宋体" w:hAnsi="宋体" w:eastAsia="仿宋_GB2312" w:cs="仿宋_GB2312"/>
          <w:iCs/>
          <w:color w:val="auto"/>
          <w:sz w:val="32"/>
          <w:szCs w:val="32"/>
        </w:rPr>
        <w:t>应当</w:t>
      </w:r>
      <w:r>
        <w:rPr>
          <w:rFonts w:hint="eastAsia" w:ascii="宋体" w:hAnsi="宋体" w:eastAsia="仿宋_GB2312" w:cs="仿宋_GB2312"/>
          <w:color w:val="auto"/>
          <w:sz w:val="32"/>
          <w:szCs w:val="32"/>
        </w:rPr>
        <w:t>包含革命遗址及其相关场馆的内容。</w:t>
      </w:r>
    </w:p>
    <w:p>
      <w:pPr>
        <w:keepNext w:val="0"/>
        <w:keepLines w:val="0"/>
        <w:pageBreakBefore w:val="0"/>
        <w:widowControl w:val="0"/>
        <w:kinsoku/>
        <w:overflowPunct w:val="0"/>
        <w:topLinePunct w:val="0"/>
        <w:autoSpaceDE/>
        <w:autoSpaceDN/>
        <w:bidi w:val="0"/>
        <w:spacing w:line="590" w:lineRule="exact"/>
        <w:jc w:val="center"/>
        <w:textAlignment w:val="auto"/>
        <w:rPr>
          <w:rFonts w:hint="eastAsia" w:ascii="宋体" w:hAnsi="宋体" w:eastAsia="黑体" w:cs="黑体"/>
          <w:color w:val="auto"/>
          <w:sz w:val="32"/>
          <w:szCs w:val="32"/>
        </w:rPr>
      </w:pPr>
    </w:p>
    <w:p>
      <w:pPr>
        <w:keepNext w:val="0"/>
        <w:keepLines w:val="0"/>
        <w:pageBreakBefore w:val="0"/>
        <w:widowControl w:val="0"/>
        <w:kinsoku/>
        <w:overflowPunct w:val="0"/>
        <w:topLinePunct w:val="0"/>
        <w:autoSpaceDE/>
        <w:autoSpaceDN/>
        <w:bidi w:val="0"/>
        <w:spacing w:line="590" w:lineRule="exact"/>
        <w:jc w:val="center"/>
        <w:textAlignment w:val="auto"/>
        <w:rPr>
          <w:rFonts w:hint="eastAsia" w:ascii="宋体" w:hAnsi="宋体" w:eastAsia="黑体" w:cs="黑体"/>
          <w:color w:val="auto"/>
          <w:sz w:val="32"/>
          <w:szCs w:val="32"/>
        </w:rPr>
      </w:pPr>
      <w:r>
        <w:rPr>
          <w:rFonts w:hint="eastAsia" w:ascii="宋体" w:hAnsi="宋体" w:eastAsia="黑体" w:cs="黑体"/>
          <w:color w:val="auto"/>
          <w:sz w:val="32"/>
          <w:szCs w:val="32"/>
        </w:rPr>
        <w:t>第四章  法律责任</w:t>
      </w:r>
    </w:p>
    <w:p>
      <w:pPr>
        <w:keepNext w:val="0"/>
        <w:keepLines w:val="0"/>
        <w:pageBreakBefore w:val="0"/>
        <w:widowControl w:val="0"/>
        <w:kinsoku/>
        <w:overflowPunct w:val="0"/>
        <w:topLinePunct w:val="0"/>
        <w:autoSpaceDE/>
        <w:autoSpaceDN/>
        <w:bidi w:val="0"/>
        <w:spacing w:line="590" w:lineRule="exact"/>
        <w:jc w:val="center"/>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 xml:space="preserve"> </w:t>
      </w:r>
    </w:p>
    <w:p>
      <w:pPr>
        <w:keepNext w:val="0"/>
        <w:keepLines w:val="0"/>
        <w:pageBreakBefore w:val="0"/>
        <w:widowControl w:val="0"/>
        <w:suppressLineNumbers w:val="0"/>
        <w:kinsoku/>
        <w:wordWrap/>
        <w:overflowPunct w:val="0"/>
        <w:topLinePunct w:val="0"/>
        <w:autoSpaceDE/>
        <w:autoSpaceDN/>
        <w:bidi w:val="0"/>
        <w:spacing w:beforeAutospacing="0" w:afterAutospacing="0" w:line="590" w:lineRule="exact"/>
        <w:ind w:left="0" w:right="0" w:rightChars="0" w:firstLine="632" w:firstLineChars="200"/>
        <w:jc w:val="both"/>
        <w:textAlignment w:val="auto"/>
        <w:rPr>
          <w:rFonts w:hint="eastAsia" w:ascii="宋体" w:hAnsi="宋体" w:eastAsia="仿宋_GB2312" w:cs="仿宋_GB2312"/>
          <w:color w:val="auto"/>
          <w:kern w:val="2"/>
          <w:sz w:val="32"/>
          <w:szCs w:val="32"/>
        </w:rPr>
      </w:pPr>
      <w:r>
        <w:rPr>
          <w:rFonts w:hint="eastAsia" w:ascii="宋体" w:hAnsi="宋体" w:eastAsia="黑体" w:cs="黑体"/>
          <w:color w:val="auto"/>
          <w:kern w:val="2"/>
          <w:sz w:val="32"/>
          <w:szCs w:val="32"/>
          <w:lang w:val="en-US" w:eastAsia="zh-CN" w:bidi="ar"/>
        </w:rPr>
        <w:t>第三十七条</w:t>
      </w:r>
      <w:r>
        <w:rPr>
          <w:rFonts w:hint="eastAsia" w:ascii="宋体" w:hAnsi="宋体" w:eastAsia="仿宋_GB2312" w:cs="仿宋_GB2312"/>
          <w:color w:val="auto"/>
          <w:kern w:val="2"/>
          <w:sz w:val="32"/>
          <w:szCs w:val="32"/>
          <w:lang w:val="en-US" w:eastAsia="zh-CN" w:bidi="ar"/>
        </w:rPr>
        <w:t xml:space="preserve">  违反本条例第十八条、第二十三条、第二十五条、第二十六条的规定，破坏或者损害属于不可移动文物、历史建筑、烈士纪念设施等革命遗址本体、历史风貌和周边环境，相关法律法规对其法律责任已有规定的，依照相关法律法规执行。</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第三十</w:t>
      </w:r>
      <w:r>
        <w:rPr>
          <w:rFonts w:hint="eastAsia" w:ascii="宋体" w:hAnsi="宋体" w:eastAsia="黑体" w:cs="黑体"/>
          <w:color w:val="auto"/>
          <w:sz w:val="32"/>
          <w:szCs w:val="32"/>
          <w:lang w:eastAsia="zh-CN"/>
        </w:rPr>
        <w:t>八</w:t>
      </w:r>
      <w:r>
        <w:rPr>
          <w:rFonts w:hint="eastAsia" w:ascii="宋体" w:hAnsi="宋体" w:eastAsia="黑体" w:cs="黑体"/>
          <w:color w:val="auto"/>
          <w:sz w:val="32"/>
          <w:szCs w:val="32"/>
        </w:rPr>
        <w:t xml:space="preserve">条 </w:t>
      </w:r>
      <w:r>
        <w:rPr>
          <w:rFonts w:hint="eastAsia" w:ascii="宋体" w:hAnsi="宋体" w:eastAsia="仿宋_GB2312" w:cs="仿宋_GB2312"/>
          <w:color w:val="auto"/>
          <w:sz w:val="32"/>
          <w:szCs w:val="32"/>
        </w:rPr>
        <w:t xml:space="preserve"> 违反本条例第十八条第一项、第二项规定，擅自迁移、拆除革命遗址或者擅自在原址重建已全部毁坏的革命遗址的，由所在地的县级以上人民政府革命遗址保护有关主管部门责令限期改正，并处五万元以上十万元以下罚款；构成违反治安管理行为的，由公安机关依法给予治安管理处罚；构成犯罪的，依法追究刑事责任。</w:t>
      </w:r>
    </w:p>
    <w:p>
      <w:pPr>
        <w:keepNext w:val="0"/>
        <w:keepLines w:val="0"/>
        <w:pageBreakBefore w:val="0"/>
        <w:widowControl w:val="0"/>
        <w:kinsoku/>
        <w:overflowPunct w:val="0"/>
        <w:topLinePunct w:val="0"/>
        <w:autoSpaceDE/>
        <w:autoSpaceDN/>
        <w:bidi w:val="0"/>
        <w:spacing w:line="590" w:lineRule="exact"/>
        <w:ind w:firstLine="608" w:firstLineChars="200"/>
        <w:textAlignment w:val="auto"/>
        <w:rPr>
          <w:rFonts w:hint="eastAsia" w:ascii="宋体" w:hAnsi="宋体" w:eastAsia="仿宋_GB2312" w:cs="仿宋_GB2312"/>
          <w:i/>
          <w:iCs/>
          <w:color w:val="auto"/>
          <w:sz w:val="32"/>
          <w:szCs w:val="32"/>
          <w:u w:val="single"/>
        </w:rPr>
      </w:pPr>
      <w:r>
        <w:rPr>
          <w:rFonts w:hint="eastAsia" w:ascii="宋体" w:hAnsi="宋体" w:eastAsia="黑体" w:cs="黑体"/>
          <w:color w:val="auto"/>
          <w:spacing w:val="-6"/>
          <w:sz w:val="32"/>
          <w:szCs w:val="32"/>
        </w:rPr>
        <w:t>第</w:t>
      </w:r>
      <w:r>
        <w:rPr>
          <w:rFonts w:hint="eastAsia" w:ascii="宋体" w:hAnsi="宋体" w:eastAsia="黑体" w:cs="黑体"/>
          <w:color w:val="auto"/>
          <w:spacing w:val="-6"/>
          <w:sz w:val="32"/>
          <w:szCs w:val="32"/>
          <w:lang w:eastAsia="zh-CN"/>
        </w:rPr>
        <w:t>三十九</w:t>
      </w:r>
      <w:r>
        <w:rPr>
          <w:rFonts w:hint="eastAsia" w:ascii="宋体" w:hAnsi="宋体" w:eastAsia="黑体" w:cs="黑体"/>
          <w:color w:val="auto"/>
          <w:spacing w:val="-6"/>
          <w:sz w:val="32"/>
          <w:szCs w:val="32"/>
        </w:rPr>
        <w:t>条</w:t>
      </w:r>
      <w:r>
        <w:rPr>
          <w:rFonts w:hint="eastAsia" w:ascii="宋体" w:hAnsi="宋体" w:eastAsia="仿宋_GB2312" w:cs="仿宋_GB2312"/>
          <w:color w:val="auto"/>
          <w:spacing w:val="-6"/>
          <w:sz w:val="32"/>
          <w:szCs w:val="32"/>
        </w:rPr>
        <w:t xml:space="preserve">  </w:t>
      </w:r>
      <w:r>
        <w:rPr>
          <w:rFonts w:hint="eastAsia" w:ascii="宋体" w:hAnsi="宋体" w:eastAsia="仿宋_GB2312" w:cs="仿宋_GB2312"/>
          <w:color w:val="auto"/>
          <w:sz w:val="32"/>
          <w:szCs w:val="32"/>
        </w:rPr>
        <w:t>违反本条例第十八条第三项、第四项、第五项、第六项、第七项、第八项规定，实施相关</w:t>
      </w:r>
      <w:r>
        <w:rPr>
          <w:rFonts w:hint="eastAsia" w:ascii="宋体" w:hAnsi="宋体" w:eastAsia="仿宋_GB2312" w:cs="仿宋_GB2312"/>
          <w:iCs/>
          <w:color w:val="auto"/>
          <w:sz w:val="32"/>
          <w:szCs w:val="32"/>
        </w:rPr>
        <w:t>违法行为，</w:t>
      </w:r>
      <w:r>
        <w:rPr>
          <w:rFonts w:hint="eastAsia" w:ascii="宋体" w:hAnsi="宋体" w:eastAsia="仿宋_GB2312" w:cs="仿宋_GB2312"/>
          <w:color w:val="auto"/>
          <w:sz w:val="32"/>
          <w:szCs w:val="32"/>
        </w:rPr>
        <w:t>对革命遗址尚未造成严重损坏后果的，由所在地的县级人民政府革命遗址保护有关主管部门给予警告，责令恢复原状或者采取其他补救措施，可以并处二百元以上二千元以下罚款；对革命遗址造成严重损害后果的，并处五万元以上十万元以下罚款；构成违反治安管理行为的，由公安机关依法给予治安管理处罚；构成犯罪的，依法追究刑事责任。</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第四十条</w:t>
      </w:r>
      <w:r>
        <w:rPr>
          <w:rFonts w:hint="eastAsia" w:ascii="宋体" w:hAnsi="宋体" w:eastAsia="仿宋_GB2312" w:cs="仿宋_GB2312"/>
          <w:color w:val="auto"/>
          <w:sz w:val="32"/>
          <w:szCs w:val="32"/>
        </w:rPr>
        <w:t xml:space="preserve">  违反本条例第</w:t>
      </w:r>
      <w:r>
        <w:rPr>
          <w:rFonts w:hint="eastAsia" w:ascii="宋体" w:hAnsi="宋体" w:eastAsia="仿宋_GB2312" w:cs="仿宋_GB2312"/>
          <w:color w:val="auto"/>
          <w:sz w:val="32"/>
          <w:szCs w:val="32"/>
          <w:lang w:eastAsia="zh-CN"/>
        </w:rPr>
        <w:t>二十九</w:t>
      </w:r>
      <w:r>
        <w:rPr>
          <w:rFonts w:hint="eastAsia" w:ascii="宋体" w:hAnsi="宋体" w:eastAsia="仿宋_GB2312" w:cs="仿宋_GB2312"/>
          <w:color w:val="auto"/>
          <w:sz w:val="32"/>
          <w:szCs w:val="32"/>
        </w:rPr>
        <w:t>条第二款规定，歪曲、丑化、亵渎、否定与革命遗址相关的</w:t>
      </w:r>
      <w:r>
        <w:rPr>
          <w:rFonts w:hint="eastAsia" w:ascii="宋体" w:hAnsi="宋体" w:eastAsia="仿宋_GB2312" w:cs="仿宋_GB2312"/>
          <w:iCs/>
          <w:color w:val="auto"/>
          <w:sz w:val="32"/>
          <w:szCs w:val="32"/>
        </w:rPr>
        <w:t>英雄烈士</w:t>
      </w:r>
      <w:r>
        <w:rPr>
          <w:rFonts w:hint="eastAsia" w:ascii="宋体" w:hAnsi="宋体" w:eastAsia="仿宋_GB2312" w:cs="仿宋_GB2312"/>
          <w:color w:val="auto"/>
          <w:sz w:val="32"/>
          <w:szCs w:val="32"/>
        </w:rPr>
        <w:t>事迹和精神的，由所在地的县级以上人民政府有关主管部门给予批评教育，责令改正；构成违反治安管理行为的，由公安机关依法给予治安管理处罚；构成犯罪的，依法追究刑事责任。</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第四十</w:t>
      </w:r>
      <w:r>
        <w:rPr>
          <w:rFonts w:hint="eastAsia" w:ascii="宋体" w:hAnsi="宋体" w:eastAsia="黑体" w:cs="黑体"/>
          <w:color w:val="auto"/>
          <w:sz w:val="32"/>
          <w:szCs w:val="32"/>
          <w:lang w:eastAsia="zh-CN"/>
        </w:rPr>
        <w:t>一</w:t>
      </w:r>
      <w:r>
        <w:rPr>
          <w:rFonts w:hint="eastAsia" w:ascii="宋体" w:hAnsi="宋体" w:eastAsia="黑体" w:cs="黑体"/>
          <w:color w:val="auto"/>
          <w:sz w:val="32"/>
          <w:szCs w:val="32"/>
        </w:rPr>
        <w:t>条</w:t>
      </w:r>
      <w:r>
        <w:rPr>
          <w:rFonts w:hint="eastAsia" w:ascii="宋体" w:hAnsi="宋体" w:eastAsia="仿宋_GB2312" w:cs="仿宋_GB2312"/>
          <w:color w:val="auto"/>
          <w:sz w:val="32"/>
          <w:szCs w:val="32"/>
        </w:rPr>
        <w:t xml:space="preserve">  各级人民政府有关主管部门、革命遗址保护管理单位及其工作人员违反本条例规定，在革命遗址保护工作中滥用职权、玩忽职守、徇私舞弊的，对直接负责的主管人员和其他直接责任人员，依法给予处分；构成犯罪的，依法追究刑事责任。</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 xml:space="preserve"> </w:t>
      </w:r>
    </w:p>
    <w:p>
      <w:pPr>
        <w:keepNext w:val="0"/>
        <w:keepLines w:val="0"/>
        <w:pageBreakBefore w:val="0"/>
        <w:widowControl w:val="0"/>
        <w:kinsoku/>
        <w:overflowPunct w:val="0"/>
        <w:topLinePunct w:val="0"/>
        <w:autoSpaceDE/>
        <w:autoSpaceDN/>
        <w:bidi w:val="0"/>
        <w:spacing w:line="590" w:lineRule="exact"/>
        <w:jc w:val="center"/>
        <w:textAlignment w:val="auto"/>
        <w:rPr>
          <w:rFonts w:hint="eastAsia" w:ascii="宋体" w:hAnsi="宋体" w:eastAsia="仿宋_GB2312" w:cs="黑体"/>
          <w:color w:val="auto"/>
          <w:sz w:val="32"/>
          <w:szCs w:val="32"/>
        </w:rPr>
      </w:pPr>
      <w:r>
        <w:rPr>
          <w:rFonts w:hint="eastAsia" w:ascii="宋体" w:hAnsi="宋体" w:eastAsia="黑体" w:cs="黑体"/>
          <w:color w:val="auto"/>
          <w:sz w:val="32"/>
          <w:szCs w:val="32"/>
        </w:rPr>
        <w:t>第五章  附</w:t>
      </w:r>
      <w:r>
        <w:rPr>
          <w:rFonts w:hint="eastAsia" w:ascii="宋体" w:hAnsi="宋体" w:eastAsia="黑体" w:cs="黑体"/>
          <w:color w:val="auto"/>
          <w:sz w:val="32"/>
          <w:szCs w:val="32"/>
          <w:lang w:eastAsia="zh-CN"/>
        </w:rPr>
        <w:t>　</w:t>
      </w:r>
      <w:r>
        <w:rPr>
          <w:rFonts w:hint="eastAsia" w:ascii="宋体" w:hAnsi="宋体" w:eastAsia="黑体" w:cs="黑体"/>
          <w:color w:val="auto"/>
          <w:sz w:val="32"/>
          <w:szCs w:val="32"/>
        </w:rPr>
        <w:t>则</w:t>
      </w:r>
    </w:p>
    <w:p>
      <w:pPr>
        <w:keepNext w:val="0"/>
        <w:keepLines w:val="0"/>
        <w:pageBreakBefore w:val="0"/>
        <w:widowControl w:val="0"/>
        <w:kinsoku/>
        <w:overflowPunct w:val="0"/>
        <w:topLinePunct w:val="0"/>
        <w:autoSpaceDE/>
        <w:autoSpaceDN/>
        <w:bidi w:val="0"/>
        <w:spacing w:line="590" w:lineRule="exact"/>
        <w:jc w:val="center"/>
        <w:textAlignment w:val="auto"/>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 xml:space="preserve"> </w:t>
      </w:r>
    </w:p>
    <w:p>
      <w:pPr>
        <w:keepNext w:val="0"/>
        <w:keepLines w:val="0"/>
        <w:pageBreakBefore w:val="0"/>
        <w:widowControl w:val="0"/>
        <w:kinsoku/>
        <w:overflowPunct w:val="0"/>
        <w:topLinePunct w:val="0"/>
        <w:autoSpaceDE/>
        <w:autoSpaceDN/>
        <w:bidi w:val="0"/>
        <w:spacing w:line="590" w:lineRule="exact"/>
        <w:ind w:firstLine="632" w:firstLineChars="200"/>
        <w:textAlignment w:val="auto"/>
        <w:rPr>
          <w:rFonts w:hint="eastAsia" w:ascii="宋体" w:hAnsi="宋体" w:eastAsia="仿宋_GB2312" w:cs="仿宋_GB2312"/>
          <w:color w:val="auto"/>
          <w:sz w:val="32"/>
          <w:szCs w:val="32"/>
        </w:rPr>
      </w:pPr>
      <w:r>
        <w:rPr>
          <w:rFonts w:hint="eastAsia" w:ascii="宋体" w:hAnsi="宋体" w:eastAsia="黑体" w:cs="黑体"/>
          <w:color w:val="auto"/>
          <w:sz w:val="32"/>
          <w:szCs w:val="32"/>
        </w:rPr>
        <w:t>第四十</w:t>
      </w:r>
      <w:r>
        <w:rPr>
          <w:rFonts w:hint="eastAsia" w:ascii="宋体" w:hAnsi="宋体" w:eastAsia="黑体" w:cs="黑体"/>
          <w:color w:val="auto"/>
          <w:sz w:val="32"/>
          <w:szCs w:val="32"/>
          <w:lang w:eastAsia="zh-CN"/>
        </w:rPr>
        <w:t>二</w:t>
      </w:r>
      <w:r>
        <w:rPr>
          <w:rFonts w:hint="eastAsia" w:ascii="宋体" w:hAnsi="宋体" w:eastAsia="黑体" w:cs="黑体"/>
          <w:color w:val="auto"/>
          <w:sz w:val="32"/>
          <w:szCs w:val="32"/>
        </w:rPr>
        <w:t>条</w:t>
      </w:r>
      <w:r>
        <w:rPr>
          <w:rFonts w:hint="eastAsia" w:ascii="宋体" w:hAnsi="宋体" w:eastAsia="仿宋_GB2312" w:cs="仿宋_GB2312"/>
          <w:color w:val="auto"/>
          <w:sz w:val="32"/>
          <w:szCs w:val="32"/>
        </w:rPr>
        <w:t xml:space="preserve">  本条例自</w:t>
      </w:r>
      <w:r>
        <w:rPr>
          <w:rFonts w:hint="eastAsia" w:ascii="宋体" w:hAnsi="宋体" w:cs="仿宋_GB2312"/>
          <w:color w:val="auto"/>
          <w:sz w:val="32"/>
          <w:szCs w:val="32"/>
          <w:lang w:val="en-US" w:eastAsia="zh-CN"/>
        </w:rPr>
        <w:t>2022</w:t>
      </w:r>
      <w:r>
        <w:rPr>
          <w:rFonts w:hint="eastAsia" w:ascii="宋体" w:hAnsi="宋体" w:eastAsia="仿宋_GB2312" w:cs="仿宋_GB2312"/>
          <w:color w:val="auto"/>
          <w:sz w:val="32"/>
          <w:szCs w:val="32"/>
        </w:rPr>
        <w:t>年</w:t>
      </w:r>
      <w:r>
        <w:rPr>
          <w:rFonts w:hint="eastAsia" w:ascii="宋体" w:hAnsi="宋体" w:cs="仿宋_GB2312"/>
          <w:color w:val="auto"/>
          <w:sz w:val="32"/>
          <w:szCs w:val="32"/>
          <w:lang w:val="en-US" w:eastAsia="zh-CN"/>
        </w:rPr>
        <w:t>3</w:t>
      </w:r>
      <w:r>
        <w:rPr>
          <w:rFonts w:hint="eastAsia" w:ascii="宋体" w:hAnsi="宋体" w:eastAsia="仿宋_GB2312" w:cs="仿宋_GB2312"/>
          <w:color w:val="auto"/>
          <w:sz w:val="32"/>
          <w:szCs w:val="32"/>
        </w:rPr>
        <w:t>月</w:t>
      </w:r>
      <w:r>
        <w:rPr>
          <w:rFonts w:hint="eastAsia" w:ascii="宋体" w:hAnsi="宋体" w:cs="仿宋_GB2312"/>
          <w:color w:val="auto"/>
          <w:sz w:val="32"/>
          <w:szCs w:val="32"/>
          <w:lang w:val="en-US" w:eastAsia="zh-CN"/>
        </w:rPr>
        <w:t>1</w:t>
      </w:r>
      <w:r>
        <w:rPr>
          <w:rFonts w:hint="eastAsia" w:ascii="宋体" w:hAnsi="宋体" w:eastAsia="仿宋_GB2312" w:cs="仿宋_GB2312"/>
          <w:color w:val="auto"/>
          <w:sz w:val="32"/>
          <w:szCs w:val="32"/>
        </w:rPr>
        <w:t>日起施行。</w:t>
      </w:r>
      <w:bookmarkStart w:id="0" w:name="_GoBack"/>
      <w:bookmarkEnd w:id="0"/>
    </w:p>
    <w:sectPr>
      <w:footerReference r:id="rId3" w:type="default"/>
      <w:footerReference r:id="rId4" w:type="even"/>
      <w:pgSz w:w="11907" w:h="16840"/>
      <w:pgMar w:top="1984" w:right="1531" w:bottom="1871" w:left="1531" w:header="0" w:footer="1361" w:gutter="0"/>
      <w:pgNumType w:fmt="decimal"/>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方正小标宋简体">
    <w:panose1 w:val="02010601030101010101"/>
    <w:charset w:val="86"/>
    <w:family w:val="auto"/>
    <w:pitch w:val="default"/>
    <w:sig w:usb0="00000001" w:usb1="080E0000" w:usb2="00000000" w:usb3="00000000" w:csb0="00040000" w:csb1="00000000"/>
  </w:font>
  <w:font w:name="Calibri Light">
    <w:altName w:val="Calibri"/>
    <w:panose1 w:val="020F0302020204030204"/>
    <w:charset w:val="00"/>
    <w:family w:val="auto"/>
    <w:pitch w:val="default"/>
    <w:sig w:usb0="00000000" w:usb1="00000000" w:usb2="00000000" w:usb3="00000000" w:csb0="2000019F" w:csb1="00000000"/>
  </w:font>
  <w:font w:name=".PingFang SC">
    <w:altName w:val="宋体"/>
    <w:panose1 w:val="00000000000000000000"/>
    <w:charset w:val="86"/>
    <w:family w:val="swiss"/>
    <w:pitch w:val="default"/>
    <w:sig w:usb0="00000000" w:usb1="00000000" w:usb2="00000010" w:usb3="00000000" w:csb0="00040000" w:csb1="00000000"/>
  </w:font>
  <w:font w:name="Arial Unicode MS">
    <w:altName w:val="宋体"/>
    <w:panose1 w:val="020B0604020202020204"/>
    <w:charset w:val="86"/>
    <w:family w:val="modern"/>
    <w:pitch w:val="default"/>
    <w:sig w:usb0="00000000" w:usb1="00000000" w:usb2="0000003F" w:usb3="00000000" w:csb0="603F01FF" w:csb1="FFFF0000"/>
  </w:font>
  <w:font w:name="方正仿宋_GBK">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书宋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Noto Sans Syriac Eastern">
    <w:altName w:val="宋体"/>
    <w:panose1 w:val="02040503050306020203"/>
    <w:charset w:val="86"/>
    <w:family w:val="auto"/>
    <w:pitch w:val="default"/>
    <w:sig w:usb0="00000000" w:usb1="00000000" w:usb2="00000080" w:usb3="00000000" w:csb0="203E0161" w:csb1="D7FF0000"/>
  </w:font>
  <w:font w:name="方正宋体S-超大字符集">
    <w:altName w:val="宋体"/>
    <w:panose1 w:val="02000000000000000000"/>
    <w:charset w:val="86"/>
    <w:family w:val="auto"/>
    <w:pitch w:val="default"/>
    <w:sig w:usb0="00000000" w:usb1="00000000" w:usb2="00000000" w:usb3="00000000" w:csb0="00040000" w:csb1="00000000"/>
  </w:font>
  <w:font w:name="DejaVu Sans">
    <w:altName w:val="Segoe Print"/>
    <w:panose1 w:val="020B0603030804020204"/>
    <w:charset w:val="00"/>
    <w:family w:val="auto"/>
    <w:pitch w:val="default"/>
    <w:sig w:usb0="00000000" w:usb1="00000000" w:usb2="0A246029" w:usb3="0400200C" w:csb0="600001FF" w:csb1="DFFF0000"/>
  </w:font>
  <w:font w:name="汉仪仿宋S">
    <w:altName w:val="仿宋"/>
    <w:panose1 w:val="00020600040101000101"/>
    <w:charset w:val="86"/>
    <w:family w:val="auto"/>
    <w:pitch w:val="default"/>
    <w:sig w:usb0="00000000" w:usb1="00000000" w:usb2="00000016" w:usb3="00000000" w:csb0="000400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keepNext w:val="0"/>
      <w:keepLines w:val="0"/>
      <w:pageBreakBefore w:val="0"/>
      <w:widowControl w:val="0"/>
      <w:kinsoku/>
      <w:wordWrap w:val="0"/>
      <w:overflowPunct/>
      <w:topLinePunct w:val="0"/>
      <w:autoSpaceDE/>
      <w:autoSpaceDN/>
      <w:bidi w:val="0"/>
      <w:adjustRightInd/>
      <w:snapToGrid w:val="0"/>
      <w:spacing w:line="240" w:lineRule="auto"/>
      <w:ind w:left="0" w:leftChars="0" w:right="320" w:rightChars="100" w:firstLine="0" w:firstLineChars="0"/>
      <w:jc w:val="right"/>
      <w:textAlignment w:val="auto"/>
      <w:outlineLvl w:val="9"/>
      <w:rPr>
        <w:rFonts w:hint="eastAsia" w:ascii="宋体" w:hAnsi="宋体" w:eastAsia="宋体" w:cs="宋体"/>
        <w:sz w:val="28"/>
        <w:szCs w:val="28"/>
        <w:lang w:val="en-US"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280" w:firstLineChars="100"/>
      <w:jc w:val="both"/>
      <w:textAlignment w:val="auto"/>
      <w:outlineLvl w:val="9"/>
      <w:rPr>
        <w:rFonts w:hint="eastAsia" w:ascii="宋体" w:hAnsi="宋体" w:eastAsia="宋体" w:cs="宋体"/>
        <w:sz w:val="28"/>
        <w:szCs w:val="28"/>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3"/>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C7BE2"/>
    <w:rsid w:val="036674C5"/>
    <w:rsid w:val="03884874"/>
    <w:rsid w:val="05D13273"/>
    <w:rsid w:val="06866278"/>
    <w:rsid w:val="086F19DD"/>
    <w:rsid w:val="0A1707EC"/>
    <w:rsid w:val="0D5A220C"/>
    <w:rsid w:val="0DC10F3C"/>
    <w:rsid w:val="0F0C1338"/>
    <w:rsid w:val="0F3C7199"/>
    <w:rsid w:val="0F9E114E"/>
    <w:rsid w:val="103C00B6"/>
    <w:rsid w:val="11361CF6"/>
    <w:rsid w:val="12272E15"/>
    <w:rsid w:val="12833C7B"/>
    <w:rsid w:val="128D47BB"/>
    <w:rsid w:val="131C3A9F"/>
    <w:rsid w:val="13371800"/>
    <w:rsid w:val="15572784"/>
    <w:rsid w:val="15626C01"/>
    <w:rsid w:val="170D64D1"/>
    <w:rsid w:val="17402747"/>
    <w:rsid w:val="176B60F3"/>
    <w:rsid w:val="17A56954"/>
    <w:rsid w:val="18394C82"/>
    <w:rsid w:val="18644411"/>
    <w:rsid w:val="19EE1972"/>
    <w:rsid w:val="1AF759E2"/>
    <w:rsid w:val="1BD6126C"/>
    <w:rsid w:val="1C3A4D59"/>
    <w:rsid w:val="1E5478C0"/>
    <w:rsid w:val="200A5205"/>
    <w:rsid w:val="20E36EDD"/>
    <w:rsid w:val="21E7264F"/>
    <w:rsid w:val="23B64D16"/>
    <w:rsid w:val="23BE221E"/>
    <w:rsid w:val="24E30D8C"/>
    <w:rsid w:val="2501793B"/>
    <w:rsid w:val="25087144"/>
    <w:rsid w:val="29EC497A"/>
    <w:rsid w:val="2A3530D2"/>
    <w:rsid w:val="2AE1624B"/>
    <w:rsid w:val="2AE3372E"/>
    <w:rsid w:val="2B217D0A"/>
    <w:rsid w:val="2BFF538A"/>
    <w:rsid w:val="2F6418ED"/>
    <w:rsid w:val="31DB5B14"/>
    <w:rsid w:val="34152DC2"/>
    <w:rsid w:val="341E6D68"/>
    <w:rsid w:val="363F4357"/>
    <w:rsid w:val="375D349B"/>
    <w:rsid w:val="37C707A3"/>
    <w:rsid w:val="381406BD"/>
    <w:rsid w:val="38882FCA"/>
    <w:rsid w:val="388C40E8"/>
    <w:rsid w:val="38AB7D8C"/>
    <w:rsid w:val="390C3D84"/>
    <w:rsid w:val="39130050"/>
    <w:rsid w:val="3E596561"/>
    <w:rsid w:val="3EC77AA3"/>
    <w:rsid w:val="3F9DE1FC"/>
    <w:rsid w:val="3FFEE01F"/>
    <w:rsid w:val="40673A31"/>
    <w:rsid w:val="41443C70"/>
    <w:rsid w:val="42E04658"/>
    <w:rsid w:val="44CF252C"/>
    <w:rsid w:val="47F60ED7"/>
    <w:rsid w:val="4862267E"/>
    <w:rsid w:val="4AF01A75"/>
    <w:rsid w:val="4B1D40BD"/>
    <w:rsid w:val="4B1D5138"/>
    <w:rsid w:val="4BF05C55"/>
    <w:rsid w:val="4D2D6729"/>
    <w:rsid w:val="4D5060CE"/>
    <w:rsid w:val="4DA05958"/>
    <w:rsid w:val="511D4D5B"/>
    <w:rsid w:val="511F1590"/>
    <w:rsid w:val="51533045"/>
    <w:rsid w:val="515A66AF"/>
    <w:rsid w:val="51FB77F1"/>
    <w:rsid w:val="52701C74"/>
    <w:rsid w:val="5891480F"/>
    <w:rsid w:val="5C216CEF"/>
    <w:rsid w:val="5C334EFE"/>
    <w:rsid w:val="5E617566"/>
    <w:rsid w:val="5ED165AF"/>
    <w:rsid w:val="5EEF1A0C"/>
    <w:rsid w:val="5F1F3699"/>
    <w:rsid w:val="5F484E2D"/>
    <w:rsid w:val="5F78677C"/>
    <w:rsid w:val="5FF6A63D"/>
    <w:rsid w:val="603B07CD"/>
    <w:rsid w:val="638156B1"/>
    <w:rsid w:val="64401FFB"/>
    <w:rsid w:val="64711DC6"/>
    <w:rsid w:val="65DA60DB"/>
    <w:rsid w:val="66ED1FE1"/>
    <w:rsid w:val="67B65FF8"/>
    <w:rsid w:val="68E136BE"/>
    <w:rsid w:val="690337E2"/>
    <w:rsid w:val="6BDF368B"/>
    <w:rsid w:val="6C544E08"/>
    <w:rsid w:val="6D336076"/>
    <w:rsid w:val="6D7E2528"/>
    <w:rsid w:val="6FF3D49C"/>
    <w:rsid w:val="70AD1945"/>
    <w:rsid w:val="70B90714"/>
    <w:rsid w:val="70F80C9B"/>
    <w:rsid w:val="70FA6FEE"/>
    <w:rsid w:val="71A74628"/>
    <w:rsid w:val="722217A9"/>
    <w:rsid w:val="72247A70"/>
    <w:rsid w:val="726D0825"/>
    <w:rsid w:val="73C2091D"/>
    <w:rsid w:val="74C5727F"/>
    <w:rsid w:val="769D666E"/>
    <w:rsid w:val="76DA649D"/>
    <w:rsid w:val="76E01EB3"/>
    <w:rsid w:val="77FFC2FC"/>
    <w:rsid w:val="79025A8E"/>
    <w:rsid w:val="7A631492"/>
    <w:rsid w:val="7C3F4965"/>
    <w:rsid w:val="7C8A566B"/>
    <w:rsid w:val="7C996E3F"/>
    <w:rsid w:val="7F6C6ACC"/>
    <w:rsid w:val="7F6FBE12"/>
    <w:rsid w:val="7FB82C5D"/>
    <w:rsid w:val="7FDE1D68"/>
    <w:rsid w:val="7FFEB430"/>
    <w:rsid w:val="B16D91BD"/>
    <w:rsid w:val="BFBD9734"/>
    <w:rsid w:val="D777838B"/>
    <w:rsid w:val="DED3CCAB"/>
    <w:rsid w:val="E967B0B6"/>
    <w:rsid w:val="F6FD3696"/>
    <w:rsid w:val="F7FDDBA8"/>
    <w:rsid w:val="F9FFD6B2"/>
    <w:rsid w:val="FAB696E7"/>
    <w:rsid w:val="FAEBECC8"/>
    <w:rsid w:val="FB7A6A38"/>
    <w:rsid w:val="FBE77DAF"/>
    <w:rsid w:val="FC3EA6A9"/>
    <w:rsid w:val="FCBE23F8"/>
    <w:rsid w:val="FFB74E8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paragraph" w:styleId="3">
    <w:name w:val="heading 1"/>
    <w:basedOn w:val="1"/>
    <w:next w:val="1"/>
    <w:qFormat/>
    <w:uiPriority w:val="0"/>
    <w:pPr>
      <w:keepNext/>
      <w:keepLines/>
      <w:ind w:firstLine="0"/>
      <w:jc w:val="center"/>
      <w:outlineLvl w:val="0"/>
    </w:pPr>
    <w:rPr>
      <w:rFonts w:eastAsia="方正小标宋简体"/>
      <w:b/>
      <w:bCs/>
      <w:kern w:val="44"/>
      <w:sz w:val="44"/>
      <w:szCs w:val="44"/>
    </w:rPr>
  </w:style>
  <w:style w:type="paragraph" w:styleId="2">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4">
    <w:name w:val="heading 3"/>
    <w:basedOn w:val="1"/>
    <w:next w:val="1"/>
    <w:unhideWhenUsed/>
    <w:qFormat/>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6">
    <w:name w:val="Default Paragraph Font"/>
    <w:link w:val="17"/>
    <w:semiHidden/>
    <w:qFormat/>
    <w:uiPriority w:val="0"/>
  </w:style>
  <w:style w:type="table" w:default="1" w:styleId="21">
    <w:name w:val="Normal Table"/>
    <w:semiHidden/>
    <w:qFormat/>
    <w:uiPriority w:val="0"/>
    <w:tblPr>
      <w:tblLayout w:type="fixed"/>
      <w:tblCellMar>
        <w:top w:w="0" w:type="dxa"/>
        <w:left w:w="108" w:type="dxa"/>
        <w:bottom w:w="0" w:type="dxa"/>
        <w:right w:w="108" w:type="dxa"/>
      </w:tblCellMar>
    </w:tblPr>
  </w:style>
  <w:style w:type="paragraph" w:styleId="5">
    <w:name w:val="Body Text First Indent"/>
    <w:basedOn w:val="6"/>
    <w:qFormat/>
    <w:uiPriority w:val="0"/>
    <w:pPr>
      <w:ind w:firstLine="420" w:firstLineChars="100"/>
    </w:pPr>
  </w:style>
  <w:style w:type="paragraph" w:styleId="6">
    <w:name w:val="Body Text"/>
    <w:basedOn w:val="1"/>
    <w:qFormat/>
    <w:uiPriority w:val="0"/>
    <w:rPr>
      <w:rFonts w:eastAsia="宋体"/>
      <w:sz w:val="44"/>
      <w:szCs w:val="24"/>
    </w:rPr>
  </w:style>
  <w:style w:type="paragraph" w:styleId="7">
    <w:name w:val="Normal Indent"/>
    <w:basedOn w:val="1"/>
    <w:next w:val="1"/>
    <w:qFormat/>
    <w:uiPriority w:val="0"/>
    <w:pPr>
      <w:ind w:firstLine="420" w:firstLineChars="200"/>
    </w:pPr>
    <w:rPr>
      <w:rFonts w:ascii="Calibri" w:hAnsi="Calibri" w:eastAsia="宋体"/>
    </w:rPr>
  </w:style>
  <w:style w:type="paragraph" w:styleId="8">
    <w:name w:val="Body Text Indent"/>
    <w:basedOn w:val="1"/>
    <w:next w:val="1"/>
    <w:qFormat/>
    <w:uiPriority w:val="0"/>
    <w:pPr>
      <w:widowControl w:val="0"/>
      <w:ind w:firstLine="640" w:firstLineChars="200"/>
      <w:jc w:val="both"/>
    </w:pPr>
    <w:rPr>
      <w:rFonts w:ascii="黑体" w:hAnsi="Times New Roman" w:eastAsia="黑体" w:cs="Times New Roman"/>
      <w:kern w:val="2"/>
      <w:sz w:val="32"/>
      <w:szCs w:val="30"/>
      <w:lang w:val="en-US" w:eastAsia="zh-CN" w:bidi="ar-SA"/>
    </w:rPr>
  </w:style>
  <w:style w:type="paragraph" w:styleId="9">
    <w:name w:val="footer"/>
    <w:basedOn w:val="1"/>
    <w:qFormat/>
    <w:uiPriority w:val="0"/>
    <w:pPr>
      <w:tabs>
        <w:tab w:val="center" w:pos="4153"/>
        <w:tab w:val="right" w:pos="8306"/>
      </w:tabs>
      <w:snapToGrid w:val="0"/>
      <w:jc w:val="left"/>
    </w:pPr>
    <w:rPr>
      <w:sz w:val="18"/>
    </w:rPr>
  </w:style>
  <w:style w:type="paragraph" w:styleId="10">
    <w:name w:val="Body Text First Indent 2"/>
    <w:basedOn w:val="8"/>
    <w:qFormat/>
    <w:uiPriority w:val="0"/>
    <w:pPr>
      <w:ind w:firstLine="420" w:firstLineChars="200"/>
    </w:p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2">
    <w:name w:val="toc 1"/>
    <w:basedOn w:val="1"/>
    <w:next w:val="1"/>
    <w:qFormat/>
    <w:uiPriority w:val="0"/>
    <w:pPr>
      <w:keepNext w:val="0"/>
      <w:keepLines w:val="0"/>
      <w:widowControl w:val="0"/>
      <w:suppressLineNumbers w:val="0"/>
      <w:spacing w:before="0" w:beforeAutospacing="0" w:after="0" w:afterAutospacing="0"/>
      <w:ind w:left="0" w:right="0"/>
      <w:jc w:val="both"/>
    </w:pPr>
    <w:rPr>
      <w:rFonts w:hint="default" w:ascii="Calibri" w:hAnsi="Calibri" w:eastAsia="仿宋_GB2312" w:cs="Times New Roman"/>
      <w:kern w:val="2"/>
      <w:sz w:val="32"/>
      <w:szCs w:val="20"/>
      <w:lang w:val="en-US" w:eastAsia="zh-CN" w:bidi="ar"/>
    </w:rPr>
  </w:style>
  <w:style w:type="paragraph" w:styleId="13">
    <w:name w:val="toc 2"/>
    <w:basedOn w:val="1"/>
    <w:next w:val="1"/>
    <w:qFormat/>
    <w:uiPriority w:val="0"/>
    <w:pPr>
      <w:keepNext w:val="0"/>
      <w:keepLines w:val="0"/>
      <w:widowControl w:val="0"/>
      <w:suppressLineNumbers w:val="0"/>
      <w:spacing w:before="100" w:beforeAutospacing="1" w:after="100" w:afterAutospacing="1"/>
      <w:ind w:left="200" w:leftChars="200"/>
      <w:jc w:val="both"/>
    </w:pPr>
    <w:rPr>
      <w:rFonts w:hint="default" w:ascii="Times New Roman" w:hAnsi="Times New Roman" w:eastAsia="宋体" w:cs="Times New Roman"/>
      <w:kern w:val="2"/>
      <w:sz w:val="32"/>
      <w:szCs w:val="32"/>
      <w:lang w:val="en-US" w:eastAsia="zh-CN" w:bidi="ar"/>
    </w:rPr>
  </w:style>
  <w:style w:type="paragraph" w:styleId="14">
    <w:name w:val="Normal (Web)"/>
    <w:basedOn w:val="1"/>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styleId="15">
    <w:name w:val="Title"/>
    <w:basedOn w:val="1"/>
    <w:next w:val="1"/>
    <w:qFormat/>
    <w:uiPriority w:val="0"/>
    <w:pPr>
      <w:spacing w:before="240" w:after="60"/>
      <w:jc w:val="center"/>
      <w:outlineLvl w:val="0"/>
    </w:pPr>
    <w:rPr>
      <w:rFonts w:ascii="Calibri Light" w:hAnsi="Calibri Light" w:eastAsia="宋体" w:cs="Times New Roman"/>
      <w:b/>
      <w:bCs/>
      <w:szCs w:val="32"/>
    </w:rPr>
  </w:style>
  <w:style w:type="paragraph" w:customStyle="1" w:styleId="17">
    <w:name w:val=" Char"/>
    <w:basedOn w:val="1"/>
    <w:link w:val="16"/>
    <w:qFormat/>
    <w:uiPriority w:val="0"/>
  </w:style>
  <w:style w:type="character" w:styleId="18">
    <w:name w:val="Strong"/>
    <w:basedOn w:val="16"/>
    <w:qFormat/>
    <w:uiPriority w:val="0"/>
    <w:rPr>
      <w:b/>
      <w:bCs/>
    </w:rPr>
  </w:style>
  <w:style w:type="character" w:styleId="19">
    <w:name w:val="page number"/>
    <w:basedOn w:val="16"/>
    <w:qFormat/>
    <w:uiPriority w:val="0"/>
  </w:style>
  <w:style w:type="character" w:styleId="20">
    <w:name w:val="Hyperlink"/>
    <w:basedOn w:val="16"/>
    <w:qFormat/>
    <w:uiPriority w:val="0"/>
    <w:rPr>
      <w:color w:val="0000FF"/>
      <w:u w:val="single"/>
    </w:rPr>
  </w:style>
  <w:style w:type="paragraph" w:customStyle="1" w:styleId="22">
    <w:name w:val=" Char Char Char Char Char Char Char Char Char1 Char Char Char Char"/>
    <w:basedOn w:val="23"/>
    <w:link w:val="16"/>
    <w:qFormat/>
    <w:uiPriority w:val="0"/>
  </w:style>
  <w:style w:type="paragraph" w:customStyle="1" w:styleId="23">
    <w:name w:val="正文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4">
    <w:name w:val="正文 New New New New New New New New New New New New New New New New New New"/>
    <w:basedOn w:val="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eastAsia="宋体" w:cs="Times New Roman"/>
      <w:kern w:val="2"/>
      <w:sz w:val="21"/>
      <w:szCs w:val="20"/>
      <w:lang w:val="en-US" w:eastAsia="zh-CN" w:bidi="ar"/>
    </w:rPr>
  </w:style>
  <w:style w:type="paragraph" w:customStyle="1" w:styleId="25">
    <w:name w:val="正文 New New New New New"/>
    <w:qFormat/>
    <w:uiPriority w:val="0"/>
    <w:pPr>
      <w:widowControl w:val="0"/>
      <w:jc w:val="both"/>
    </w:pPr>
    <w:rPr>
      <w:rFonts w:ascii="Times New Roman" w:hAnsi="Times New Roman" w:eastAsia="仿宋_GB2312" w:cs="Times New Roman"/>
      <w:kern w:val="2"/>
      <w:sz w:val="32"/>
      <w:lang w:val="en-US" w:eastAsia="zh-CN"/>
    </w:rPr>
  </w:style>
  <w:style w:type="paragraph" w:customStyle="1" w:styleId="26">
    <w:name w:val="正文 New New New New New New New"/>
    <w:basedOn w:val="1"/>
    <w:qFormat/>
    <w:uiPriority w:val="0"/>
    <w:pPr>
      <w:keepNext w:val="0"/>
      <w:keepLines w:val="0"/>
      <w:widowControl w:val="0"/>
      <w:suppressLineNumbers w:val="0"/>
      <w:spacing w:before="0" w:beforeAutospacing="0" w:after="0" w:afterAutospacing="0"/>
      <w:ind w:left="0" w:right="0"/>
      <w:jc w:val="both"/>
    </w:pPr>
    <w:rPr>
      <w:rFonts w:hint="eastAsia" w:ascii="仿宋_GB2312" w:hAnsi="Tahoma" w:eastAsia="仿宋_GB2312" w:cs="Times New Roman"/>
      <w:kern w:val="2"/>
      <w:sz w:val="21"/>
      <w:szCs w:val="22"/>
      <w:lang w:val="en-US" w:eastAsia="zh-CN" w:bidi="ar"/>
    </w:rPr>
  </w:style>
  <w:style w:type="paragraph" w:customStyle="1" w:styleId="27">
    <w:name w:val="p0"/>
    <w:basedOn w:val="1"/>
    <w:qFormat/>
    <w:uiPriority w:val="0"/>
    <w:pPr>
      <w:widowControl/>
    </w:pPr>
    <w:rPr>
      <w:rFonts w:hint="eastAsia" w:ascii="宋体" w:hAnsi="宋体"/>
      <w:sz w:val="32"/>
    </w:rPr>
  </w:style>
  <w:style w:type="paragraph" w:customStyle="1" w:styleId="28">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9">
    <w:name w:val="p1"/>
    <w:basedOn w:val="1"/>
    <w:qFormat/>
    <w:uiPriority w:val="99"/>
    <w:pPr>
      <w:widowControl/>
      <w:jc w:val="center"/>
    </w:pPr>
    <w:rPr>
      <w:rFonts w:ascii=".PingFang SC" w:hAnsi=".PingFang SC" w:eastAsia=".PingFang SC"/>
      <w:color w:val="454545"/>
      <w:kern w:val="0"/>
      <w:sz w:val="18"/>
      <w:szCs w:val="18"/>
    </w:rPr>
  </w:style>
  <w:style w:type="paragraph" w:customStyle="1" w:styleId="30">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31">
    <w:name w:val="正文 A"/>
    <w:qFormat/>
    <w:uiPriority w:val="0"/>
    <w:pPr>
      <w:framePr w:wrap="around" w:vAnchor="margin" w:hAnchor="text" w:yAlign="top"/>
      <w:widowControl w:val="0"/>
      <w:jc w:val="both"/>
    </w:pPr>
    <w:rPr>
      <w:rFonts w:hint="eastAsia" w:ascii="Arial Unicode MS" w:hAnsi="Arial Unicode MS" w:eastAsia="Arial Unicode MS" w:cs="Arial Unicode MS"/>
      <w:color w:val="000000"/>
      <w:kern w:val="2"/>
      <w:sz w:val="21"/>
      <w:szCs w:val="21"/>
      <w:u w:val="none" w:color="000000"/>
      <w:lang w:val="en-US" w:eastAsia="zh-CN" w:bidi="ar-SA"/>
    </w:rPr>
  </w:style>
  <w:style w:type="paragraph" w:customStyle="1" w:styleId="32">
    <w:name w:val="正文 New New New New New New New New New New New New New New New New New New New New"/>
    <w:qFormat/>
    <w:uiPriority w:val="0"/>
    <w:pPr>
      <w:widowControl w:val="0"/>
      <w:jc w:val="both"/>
    </w:pPr>
    <w:rPr>
      <w:rFonts w:ascii="仿宋_GB2312" w:hAnsi="Tahoma" w:eastAsia="仿宋_GB2312" w:cs="Times New Roman"/>
      <w:kern w:val="2"/>
      <w:sz w:val="32"/>
      <w:lang w:val="en-US" w:eastAsia="zh-CN" w:bidi="ar-SA"/>
    </w:rPr>
  </w:style>
  <w:style w:type="paragraph" w:customStyle="1" w:styleId="33">
    <w:name w:val="正文 New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34">
    <w:name w:val="15"/>
    <w:qFormat/>
    <w:uiPriority w:val="0"/>
    <w:rPr>
      <w:rFonts w:hint="default" w:ascii="Times New Roman" w:hAnsi="Times New Roman" w:cs="Times New Roman"/>
      <w:b/>
      <w:bCs/>
      <w:sz w:val="20"/>
      <w:szCs w:val="20"/>
    </w:rPr>
  </w:style>
  <w:style w:type="character" w:customStyle="1" w:styleId="35">
    <w:name w:val="form-textarea-print1"/>
    <w:basedOn w:val="16"/>
    <w:qFormat/>
    <w:uiPriority w:val="0"/>
    <w:rPr>
      <w:sz w:val="14"/>
      <w:szCs w:val="14"/>
    </w:rPr>
  </w:style>
  <w:style w:type="paragraph" w:customStyle="1" w:styleId="36">
    <w:name w:val="Default"/>
    <w:qFormat/>
    <w:uiPriority w:val="0"/>
    <w:pPr>
      <w:widowControl w:val="0"/>
      <w:autoSpaceDE w:val="0"/>
      <w:autoSpaceDN w:val="0"/>
      <w:adjustRightInd w:val="0"/>
      <w:spacing w:after="160" w:line="259" w:lineRule="auto"/>
    </w:pPr>
    <w:rPr>
      <w:rFonts w:hint="eastAsia" w:ascii="方正仿宋_GBK" w:hAnsi="方正仿宋_GBK" w:eastAsia="方正仿宋_GBK" w:cs="Times New Roman"/>
      <w:color w:val="000000"/>
      <w:sz w:val="24"/>
      <w:szCs w:val="22"/>
      <w:lang w:val="en-US" w:eastAsia="zh-CN" w:bidi="ar-SA"/>
    </w:rPr>
  </w:style>
  <w:style w:type="paragraph" w:customStyle="1" w:styleId="37">
    <w:name w:val="p15"/>
    <w:basedOn w:val="38"/>
    <w:qFormat/>
    <w:uiPriority w:val="3"/>
    <w:pPr>
      <w:widowControl/>
      <w:ind w:firstLine="420"/>
    </w:pPr>
    <w:rPr>
      <w:rFonts w:ascii="仿宋_GB2312" w:hAnsi="仿宋_GB2312" w:eastAsia="仿宋_GB2312" w:cs="仿宋_GB2312"/>
      <w:kern w:val="0"/>
      <w:sz w:val="32"/>
      <w:szCs w:val="32"/>
    </w:rPr>
  </w:style>
  <w:style w:type="paragraph" w:customStyle="1" w:styleId="38">
    <w:name w:val="正文 New New New New New New New New New New New New New New New New New New New New New New New New New New New New New New New New"/>
    <w:qFormat/>
    <w:uiPriority w:val="2"/>
    <w:pPr>
      <w:widowControl w:val="0"/>
      <w:jc w:val="both"/>
    </w:pPr>
    <w:rPr>
      <w:rFonts w:ascii="Calibri" w:hAnsi="Calibri" w:eastAsia="宋体" w:cs="Times New Roman"/>
      <w:color w:val="000000"/>
      <w:kern w:val="1"/>
      <w:sz w:val="21"/>
      <w:szCs w:val="22"/>
      <w:lang w:val="en-US" w:eastAsia="zh-CN" w:bidi="ar-SA"/>
    </w:rPr>
  </w:style>
  <w:style w:type="character" w:customStyle="1" w:styleId="39">
    <w:name w:val="bjh-p"/>
    <w:unhideWhenUsed/>
    <w:qFormat/>
    <w:uiPriority w:val="0"/>
    <w:rPr>
      <w:rFonts w:hint="default"/>
      <w:sz w:val="24"/>
    </w:rPr>
  </w:style>
  <w:style w:type="paragraph" w:customStyle="1" w:styleId="40">
    <w:name w:val="正文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1">
    <w:name w:val="p17"/>
    <w:basedOn w:val="1"/>
    <w:qFormat/>
    <w:uiPriority w:val="0"/>
    <w:pPr>
      <w:widowControl/>
      <w:ind w:firstLine="420"/>
    </w:pPr>
    <w:rPr>
      <w:rFonts w:ascii="仿宋_GB2312" w:hAnsi="宋体" w:eastAsia="仿宋_GB2312" w:cs="宋体"/>
      <w:kern w:val="0"/>
      <w:sz w:val="32"/>
      <w:szCs w:val="32"/>
    </w:rPr>
  </w:style>
  <w:style w:type="paragraph" w:customStyle="1" w:styleId="42">
    <w:name w:val="Normal Indent1"/>
    <w:basedOn w:val="1"/>
    <w:qFormat/>
    <w:uiPriority w:val="0"/>
    <w:pPr>
      <w:adjustRightInd w:val="0"/>
      <w:spacing w:line="360" w:lineRule="auto"/>
      <w:ind w:firstLine="420"/>
      <w:textAlignment w:val="baseline"/>
    </w:pPr>
    <w:rPr>
      <w:rFonts w:ascii="Calibri" w:hAnsi="Calibri" w:eastAsia="宋体" w:cs="Times New Roman"/>
      <w:kern w:val="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3</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2019-04-15T07:40:00Z</dcterms:created>
  <dc:creator>谢浩然</dc:creator>
  <cp:lastModifiedBy>PC</cp:lastModifiedBy>
  <cp:lastPrinted>2020-12-15T02:27:00Z</cp:lastPrinted>
  <dcterms:modified xsi:type="dcterms:W3CDTF">2022-03-23T07:42:06Z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