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宋体" w:hAnsi="宋体" w:cs="宋体"/>
          <w:sz w:val="32"/>
          <w:szCs w:val="32"/>
          <w:lang w:val="en-US" w:eastAsia="zh-CN"/>
        </w:rPr>
      </w:pPr>
      <w:r>
        <w:rPr>
          <w:rFonts w:hint="eastAsia" w:ascii="宋体" w:hAnsi="宋体" w:cs="宋体"/>
          <w:sz w:val="32"/>
          <w:szCs w:val="32"/>
          <w:lang w:val="en-US" w:eastAsia="zh-CN"/>
        </w:rPr>
        <w:t xml:space="preserve">   </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宋体" w:hAnsi="宋体" w:cs="宋体"/>
          <w:sz w:val="32"/>
          <w:szCs w:val="32"/>
          <w:lang w:val="en-US" w:eastAsia="zh-CN"/>
        </w:rPr>
      </w:pP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center"/>
        <w:textAlignment w:val="auto"/>
        <w:outlineLvl w:val="9"/>
        <w:rPr>
          <w:rFonts w:hint="eastAsia" w:ascii="宋体" w:hAnsi="宋体" w:eastAsia="宋体" w:cs="宋体"/>
          <w:sz w:val="32"/>
          <w:szCs w:val="32"/>
        </w:rPr>
      </w:pPr>
      <w:r>
        <w:rPr>
          <w:rFonts w:hint="eastAsia" w:ascii="宋体" w:hAnsi="宋体" w:eastAsia="宋体" w:cs="宋体"/>
          <w:sz w:val="44"/>
          <w:szCs w:val="44"/>
        </w:rPr>
        <w:t>广州市依法行政条例</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(2016年9月28日广州市第十四届人民代表大会常务委员会第五十六次会议通过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2016年12月1日广东省第十二届人民代表大会常务委员会第二十九次会议批准)</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both"/>
        <w:textAlignment w:val="auto"/>
        <w:outlineLvl w:val="9"/>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center"/>
        <w:textAlignment w:val="auto"/>
        <w:outlineLvl w:val="9"/>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行政决策</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行政执法</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依法行政的监督</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依法行政的保障</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宋体" w:hAnsi="宋体" w:eastAsia="宋体" w:cs="宋体"/>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60" w:lineRule="exact"/>
        <w:ind w:left="631"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第一章  </w:t>
      </w:r>
      <w:r>
        <w:rPr>
          <w:rFonts w:hint="eastAsia" w:ascii="黑体" w:hAnsi="黑体" w:eastAsia="黑体" w:cs="黑体"/>
          <w:sz w:val="32"/>
          <w:szCs w:val="32"/>
        </w:rPr>
        <w:t>总则</w:t>
      </w:r>
    </w:p>
    <w:p>
      <w:pPr>
        <w:keepNext w:val="0"/>
        <w:keepLines w:val="0"/>
        <w:pageBreakBefore w:val="0"/>
        <w:widowControl/>
        <w:numPr>
          <w:ilvl w:val="0"/>
          <w:numId w:val="0"/>
        </w:numPr>
        <w:kinsoku/>
        <w:wordWrap/>
        <w:overflowPunct/>
        <w:topLinePunct w:val="0"/>
        <w:autoSpaceDE/>
        <w:autoSpaceDN/>
        <w:bidi w:val="0"/>
        <w:adjustRightInd/>
        <w:snapToGrid w:val="0"/>
        <w:spacing w:line="560" w:lineRule="exact"/>
        <w:ind w:left="631"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60" w:lineRule="exact"/>
        <w:ind w:right="0" w:rightChars="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第一条</w:t>
      </w:r>
      <w:r>
        <w:rPr>
          <w:rFonts w:hint="eastAsia" w:ascii="仿宋_GB2312" w:hAnsi="仿宋_GB2312" w:eastAsia="仿宋_GB2312" w:cs="仿宋_GB2312"/>
          <w:sz w:val="32"/>
          <w:szCs w:val="32"/>
          <w:lang w:val="en-US" w:eastAsia="zh-CN"/>
        </w:rPr>
        <w:t xml:space="preserve"> </w:t>
      </w:r>
      <w:r>
        <w:rPr>
          <w:rFonts w:hint="eastAsia"/>
          <w:lang w:val="en-US" w:eastAsia="zh-CN"/>
        </w:rPr>
        <w:t xml:space="preserve"> 为了推进依法行政，建设法治政府，规范行政权力运行，保护公民、法人和其他组织的合法权益，根据有关法律、法规的规定，结合本市实际情况，制定本条例。</w:t>
      </w:r>
    </w:p>
    <w:p>
      <w:pPr>
        <w:keepNext w:val="0"/>
        <w:keepLines w:val="0"/>
        <w:pageBreakBefore w:val="0"/>
        <w:widowControl/>
        <w:numPr>
          <w:ilvl w:val="0"/>
          <w:numId w:val="0"/>
        </w:numPr>
        <w:kinsoku/>
        <w:wordWrap/>
        <w:overflowPunct/>
        <w:topLinePunct w:val="0"/>
        <w:autoSpaceDE/>
        <w:autoSpaceDN/>
        <w:bidi w:val="0"/>
        <w:adjustRightInd/>
        <w:snapToGrid w:val="0"/>
        <w:spacing w:line="560" w:lineRule="exact"/>
        <w:ind w:right="0" w:rightChars="0"/>
        <w:jc w:val="left"/>
        <w:textAlignment w:val="auto"/>
        <w:outlineLvl w:val="9"/>
        <w:rPr>
          <w:rFonts w:hint="eastAsia"/>
          <w:lang w:val="en-US" w:eastAsia="zh-CN"/>
        </w:rPr>
      </w:pPr>
      <w:r>
        <w:rPr>
          <w:rFonts w:hint="eastAsia" w:ascii="黑体" w:hAnsi="黑体" w:eastAsia="黑体" w:cs="黑体"/>
          <w:sz w:val="32"/>
          <w:szCs w:val="32"/>
          <w:lang w:val="en-US" w:eastAsia="zh-CN"/>
        </w:rPr>
        <w:t xml:space="preserve">    第二条</w:t>
      </w:r>
      <w:r>
        <w:rPr>
          <w:rFonts w:hint="eastAsia"/>
          <w:lang w:val="en-US" w:eastAsia="zh-CN"/>
        </w:rPr>
        <w:t xml:space="preserve">  实施行政行为应当遵循合法合理、程序正当、公开公正、高效便民、诚实守信、权责统一的原则。</w:t>
      </w:r>
    </w:p>
    <w:p>
      <w:pPr>
        <w:keepNext w:val="0"/>
        <w:keepLines w:val="0"/>
        <w:pageBreakBefore w:val="0"/>
        <w:widowControl/>
        <w:numPr>
          <w:ilvl w:val="0"/>
          <w:numId w:val="0"/>
        </w:numPr>
        <w:kinsoku/>
        <w:wordWrap/>
        <w:overflowPunct/>
        <w:topLinePunct w:val="0"/>
        <w:autoSpaceDE/>
        <w:autoSpaceDN/>
        <w:bidi w:val="0"/>
        <w:adjustRightInd/>
        <w:snapToGrid w:val="0"/>
        <w:spacing w:line="560" w:lineRule="exact"/>
        <w:ind w:right="0" w:rightChars="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第三条  </w:t>
      </w:r>
      <w:r>
        <w:rPr>
          <w:rFonts w:hint="eastAsia" w:ascii="仿宋_GB2312" w:hAnsi="仿宋_GB2312" w:eastAsia="仿宋_GB2312" w:cs="仿宋_GB2312"/>
          <w:sz w:val="32"/>
          <w:szCs w:val="32"/>
          <w:lang w:val="en-US" w:eastAsia="zh-CN"/>
        </w:rPr>
        <w:t>行政机关以自己的名义依法行使行政职权</w:t>
      </w:r>
      <w:r>
        <w:rPr>
          <w:rFonts w:hint="eastAsia" w:ascii="仿宋_GB2312" w:hAnsi="仿宋_GB2312" w:cs="仿宋_GB2312"/>
          <w:sz w:val="32"/>
          <w:szCs w:val="32"/>
          <w:lang w:val="en-US" w:eastAsia="zh-CN"/>
        </w:rPr>
        <w:t>，</w:t>
      </w:r>
      <w:r>
        <w:rPr>
          <w:rFonts w:hint="eastAsia" w:ascii="仿宋_GB2312" w:hAnsi="仿宋_GB2312" w:eastAsia="仿宋_GB2312" w:cs="仿宋_GB2312"/>
          <w:sz w:val="32"/>
          <w:szCs w:val="32"/>
          <w:lang w:val="en-US" w:eastAsia="zh-CN"/>
        </w:rPr>
        <w:t>并承担法律责任。</w:t>
      </w:r>
    </w:p>
    <w:p>
      <w:pPr>
        <w:keepNext w:val="0"/>
        <w:keepLines w:val="0"/>
        <w:pageBreakBefore w:val="0"/>
        <w:widowControl/>
        <w:numPr>
          <w:ilvl w:val="0"/>
          <w:numId w:val="0"/>
        </w:numPr>
        <w:kinsoku/>
        <w:wordWrap/>
        <w:overflowPunct/>
        <w:topLinePunct w:val="0"/>
        <w:autoSpaceDE/>
        <w:autoSpaceDN/>
        <w:bidi w:val="0"/>
        <w:adjustRightInd/>
        <w:snapToGrid w:val="0"/>
        <w:spacing w:line="560" w:lineRule="exact"/>
        <w:ind w:right="0" w:rightChars="0"/>
        <w:jc w:val="left"/>
        <w:textAlignment w:val="auto"/>
        <w:outlineLvl w:val="9"/>
        <w:rPr>
          <w:rFonts w:hint="eastAsia"/>
          <w:lang w:val="en-US" w:eastAsia="zh-CN"/>
        </w:rPr>
      </w:pPr>
      <w:r>
        <w:rPr>
          <w:rFonts w:hint="eastAsia"/>
          <w:lang w:val="en-US" w:eastAsia="zh-CN"/>
        </w:rPr>
        <w:t xml:space="preserve">    法律、法规授权的组织在法定授权范围内，以自己的名义行使行政职权，并承担法律责任。</w:t>
      </w:r>
    </w:p>
    <w:p>
      <w:pPr>
        <w:keepNext w:val="0"/>
        <w:keepLines w:val="0"/>
        <w:pageBreakBefore w:val="0"/>
        <w:widowControl/>
        <w:numPr>
          <w:ilvl w:val="0"/>
          <w:numId w:val="0"/>
        </w:numPr>
        <w:kinsoku/>
        <w:wordWrap/>
        <w:overflowPunct/>
        <w:topLinePunct w:val="0"/>
        <w:autoSpaceDE/>
        <w:autoSpaceDN/>
        <w:bidi w:val="0"/>
        <w:adjustRightInd/>
        <w:snapToGrid w:val="0"/>
        <w:spacing w:line="560" w:lineRule="exact"/>
        <w:ind w:right="0" w:rightChars="0" w:firstLine="631"/>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行政机关的派出机构应当以其隶属的行政机关的名义行使行政职权</w:t>
      </w:r>
      <w:r>
        <w:rPr>
          <w:rFonts w:hint="eastAsia" w:ascii="仿宋_GB2312" w:hAnsi="仿宋_GB2312" w:cs="仿宋_GB2312"/>
          <w:sz w:val="32"/>
          <w:szCs w:val="32"/>
          <w:lang w:val="en-US" w:eastAsia="zh-CN"/>
        </w:rPr>
        <w:t>，</w:t>
      </w:r>
      <w:r>
        <w:rPr>
          <w:rFonts w:hint="eastAsia" w:ascii="仿宋_GB2312" w:hAnsi="仿宋_GB2312" w:eastAsia="仿宋_GB2312" w:cs="仿宋_GB2312"/>
          <w:sz w:val="32"/>
          <w:szCs w:val="32"/>
          <w:lang w:val="en-US" w:eastAsia="zh-CN"/>
        </w:rPr>
        <w:t>并由该行政机关承担法律责任</w:t>
      </w:r>
      <w:r>
        <w:rPr>
          <w:rFonts w:hint="eastAsia" w:ascii="仿宋_GB2312" w:hAnsi="仿宋_GB2312" w:cs="仿宋_GB2312"/>
          <w:sz w:val="32"/>
          <w:szCs w:val="32"/>
          <w:lang w:val="en-US" w:eastAsia="zh-CN"/>
        </w:rPr>
        <w:t>。</w:t>
      </w:r>
      <w:r>
        <w:rPr>
          <w:rFonts w:hint="eastAsia" w:ascii="仿宋_GB2312" w:hAnsi="仿宋_GB2312" w:eastAsia="仿宋_GB2312" w:cs="仿宋_GB2312"/>
          <w:sz w:val="32"/>
          <w:szCs w:val="32"/>
          <w:lang w:val="en-US" w:eastAsia="zh-CN"/>
        </w:rPr>
        <w:t>法律、法规另有规定的除外。</w:t>
      </w:r>
    </w:p>
    <w:p>
      <w:pPr>
        <w:keepNext w:val="0"/>
        <w:keepLines w:val="0"/>
        <w:pageBreakBefore w:val="0"/>
        <w:widowControl/>
        <w:numPr>
          <w:ilvl w:val="0"/>
          <w:numId w:val="0"/>
        </w:numPr>
        <w:kinsoku/>
        <w:wordWrap/>
        <w:overflowPunct/>
        <w:topLinePunct w:val="0"/>
        <w:autoSpaceDE/>
        <w:autoSpaceDN/>
        <w:bidi w:val="0"/>
        <w:adjustRightInd/>
        <w:snapToGrid w:val="0"/>
        <w:spacing w:line="560" w:lineRule="exact"/>
        <w:ind w:right="0" w:rightChars="0" w:firstLine="631"/>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议事协调机构不得行使行政机关的职权。</w:t>
      </w:r>
    </w:p>
    <w:p>
      <w:pPr>
        <w:keepNext w:val="0"/>
        <w:keepLines w:val="0"/>
        <w:pageBreakBefore w:val="0"/>
        <w:widowControl/>
        <w:numPr>
          <w:ilvl w:val="0"/>
          <w:numId w:val="0"/>
        </w:numPr>
        <w:kinsoku/>
        <w:wordWrap/>
        <w:overflowPunct/>
        <w:topLinePunct w:val="0"/>
        <w:autoSpaceDE/>
        <w:autoSpaceDN/>
        <w:bidi w:val="0"/>
        <w:adjustRightInd/>
        <w:snapToGrid w:val="0"/>
        <w:spacing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市人民政府负责全市的依法行政工作</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并对其行政管理部门和下级人民政府的依法行政工作实施监督。</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区人民政府负责本行政区域内的依法行政工作</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并对其行政管理部门和镇人民政府、街道办事处的依法行政工作实施监督</w:t>
      </w:r>
      <w:r>
        <w:rPr>
          <w:rFonts w:hint="eastAsia" w:ascii="仿宋_GB2312" w:hAnsi="仿宋_GB2312" w:eastAsia="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镇人民政府、街道办事处负责本辖区内依法行政的具体工作。</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市人民政府法制机构组织实施本条例</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负责本市依法行政的规划、协调、指导、监督、考核等工作。</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区人民政府法制机构负责本行政区域依法行政的规划、协调、指导、监督、考核等工作。</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各级人民政府行政管理部门和法律、法规授权的组织按照各自职责分工做好本条例实施的相关工作。</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依法行政工作实行行政首长负责制</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行政首长是本行政区域或者本部门依法行政工作的第一责任人。</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市、区人民政府应当优化工作流程</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完善决策权、执行权、监督权相互制约又相互协调的行政运行机制。</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市、区人民政府行政管理部门和承担行政管理职能的组织应当依法编制权责清单</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由本级人民政府审核并向社会公布。</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权责清单应当根据法律</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法规的制定、修改、解释、废止情况以及机构和职能调整情况及时调整。</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为了公共管理的需要</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行政机关可以根据法律、法规、规章的规定</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将部分行政职权委托给其他行政机关或者符合下列条件的组织行使</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（一）</w:t>
      </w:r>
      <w:r>
        <w:rPr>
          <w:rFonts w:hint="eastAsia" w:ascii="仿宋_GB2312" w:hAnsi="仿宋_GB2312" w:eastAsia="仿宋_GB2312" w:cs="仿宋_GB2312"/>
          <w:sz w:val="32"/>
          <w:szCs w:val="32"/>
        </w:rPr>
        <w:t>具有熟悉有关法律、法规、规章和业务的工作人员</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（二）</w:t>
      </w:r>
      <w:r>
        <w:rPr>
          <w:rFonts w:hint="eastAsia" w:ascii="仿宋_GB2312" w:hAnsi="仿宋_GB2312" w:eastAsia="仿宋_GB2312" w:cs="仿宋_GB2312"/>
          <w:sz w:val="32"/>
          <w:szCs w:val="32"/>
        </w:rPr>
        <w:t>具备行使受委托行政职权的基本设备和条件</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（四）</w:t>
      </w:r>
      <w:r>
        <w:rPr>
          <w:rFonts w:hint="eastAsia" w:ascii="仿宋_GB2312" w:hAnsi="仿宋_GB2312" w:eastAsia="仿宋_GB2312" w:cs="仿宋_GB2312"/>
          <w:sz w:val="32"/>
          <w:szCs w:val="32"/>
        </w:rPr>
        <w:t>法律、法规、规章规定的其他条件。</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（五）</w:t>
      </w:r>
      <w:r>
        <w:rPr>
          <w:rFonts w:hint="eastAsia" w:ascii="仿宋_GB2312" w:hAnsi="仿宋_GB2312" w:eastAsia="仿宋_GB2312" w:cs="仿宋_GB2312"/>
          <w:sz w:val="32"/>
          <w:szCs w:val="32"/>
        </w:rPr>
        <w:t>受委托的行政机关或者组织应当在委托的行政职权范围内</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以委托机关的名义行使行政职权</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并由委托机关承担法律责任。</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行政机关委托其他行政机关或者组织行使部分行政职权之前</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应当对委托的必要性、可行性等进行评估</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行政委托实施一年后应当对受委托行政机关或者组织行使受委托行政职权的情况进行评估。经评估认为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行政职权由原行政机关实施更为恰当</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或者委托后造成公共管理混乱、社会资源浪费的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不得进行委托</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已经委托的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应当及时解除委托关系</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相应的行政职权由原行政机关行使</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并向社会公告。</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行政委托应当采取书面形式</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明确委托的对象、范围、权限、责任、期限及相应的要求</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并向社会公布。</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委托机关应当加强对受委托行政机关或者组织行使受委托的行政职权的监督</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受委托行政机关或者组织应当定期向委托机关报告行使受委托的行政职权的情况、存在问题以及整改措施。</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受委托的行政机关或者组织</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不得将受委托的行政职权再委托给其他行政机关、组织或者个人行使。</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行政行为一经作出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非因法定事由并经法定程序</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不得撤销、变更。行政行为所依据的法律、法规、规章修改、废止</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或者作出行政行为所依据的客观情况发生重大变化的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为了公共利益的需要</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行政机关或者法律、法规授权的组织可以依照法定权限和程序撤回或者变更已经生效的行政行为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因此导致公民、法人或者其他组织财产损失的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应当依法予以补偿。</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公民、法人或者其他组织申请行政补偿的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行政机关或者法律</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法规授权的组织应当对其财产损失进行评估</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按照法定标准确定补偿额度</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没有法定标准的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按照公平、合理的原则确定补偿额度</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及时予以补偿。</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市人民政府应当加强信息化建设</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统一信息采集、录入、更新、使用机制和信息数据共享格式、标准</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建立政府部门之间的信息共享平台、面向社会公众的政府数据开放平台和政府信息公开、管理、服务平台</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完善网上政务办理和服务</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信息系统</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维护网络信息安全</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为行政审批、行政执法、事中事后监管、公共服务等提供信息服务和技术支撑。</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市、区人民政府应当完善政府信息公开制度</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拓宽公开渠道</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推进决策、执行、管理、服务、结果等公开。除涉及国家秘密、商业秘密、个人隐私等依法需要保密的外</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财政预决算、公共资源配置、重大建设项目批准和实施、社会公益事业建设等依法需要主动公开的政府信息应当通过政府网站、报纸等媒体及时、准确、全面公开。</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对申请公开的政府信息</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有关行政管理部门应当畅通申请和公开渠道</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依法向申请人公开相关信息。</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行政决策</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市、区人民政府及其行政管理部门应当建立科学、民主的行政决策程序</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完善公众参与、专家论证和行政机关决策相结合的行政决策机制</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确保决策科学、程序正当、过程公开、责任明确。</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突发事件的应急决策以及依法需要保密的决策事项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依照有关规定办理。</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行政决策起草部门应当开展调查研究</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全面收集和分析决策所需的材料和信息</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充分听取各方意见。</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行政决策起草部门可以自行组织起草决策方案</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也可以委托有关专家或者专业研究机构起草决策方案。</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行政决策涉及下列事项的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应当举行听证会</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cs="仿宋_GB2312"/>
          <w:sz w:val="32"/>
          <w:szCs w:val="32"/>
          <w:lang w:val="en-US" w:eastAsia="zh-CN"/>
        </w:rPr>
        <w:t xml:space="preserve">    （一）</w:t>
      </w:r>
      <w:r>
        <w:rPr>
          <w:rFonts w:hint="eastAsia" w:ascii="仿宋_GB2312" w:hAnsi="仿宋_GB2312" w:eastAsia="仿宋_GB2312" w:cs="仿宋_GB2312"/>
          <w:sz w:val="32"/>
          <w:szCs w:val="32"/>
        </w:rPr>
        <w:t>提高政府定价的公用事业、公益性服务、商品价格和社会保障收费标准</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降低社会保障待遇标准以及其他广泛且直接影响公民、法人或者其他组织重大利益的事项</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（一）</w:t>
      </w:r>
      <w:r>
        <w:rPr>
          <w:rFonts w:hint="eastAsia" w:ascii="仿宋_GB2312" w:hAnsi="仿宋_GB2312" w:eastAsia="仿宋_GB2312" w:cs="仿宋_GB2312"/>
          <w:sz w:val="32"/>
          <w:szCs w:val="32"/>
        </w:rPr>
        <w:t>社会高度关注且争议较大的事项</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（二）</w:t>
      </w:r>
      <w:r>
        <w:rPr>
          <w:rFonts w:hint="eastAsia" w:ascii="仿宋_GB2312" w:hAnsi="仿宋_GB2312" w:eastAsia="仿宋_GB2312" w:cs="仿宋_GB2312"/>
          <w:sz w:val="32"/>
          <w:szCs w:val="32"/>
        </w:rPr>
        <w:t>决策起草部门认为有必要组织听证的事项</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（三）</w:t>
      </w:r>
      <w:r>
        <w:rPr>
          <w:rFonts w:hint="eastAsia" w:ascii="仿宋_GB2312" w:hAnsi="仿宋_GB2312" w:eastAsia="仿宋_GB2312" w:cs="仿宋_GB2312"/>
          <w:sz w:val="32"/>
          <w:szCs w:val="32"/>
        </w:rPr>
        <w:t>国家、省、市规定的应当听证的其他事项。</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市、区人民政府应当完善听证程序</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确保听证参与人具有广泛的代表性并充分表达意见。</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决策执行部门和单位应当按照各自职责</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全面、及时、准确地贯彻执行行政决策。</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宋体" w:hAnsi="宋体" w:eastAsia="宋体" w:cs="宋体"/>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决策机关应当建立和完善行政决策执行的督查机制</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通过跟踪调查、考核等措施</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对行政决策事项的执行进行督促检查。</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行政决策实施的客观条件发生重大变化或者出现其他不应当继续执行的情况</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导致行政决策部分或者全部不能实现的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决策机关应当根据实际情况作出修订决策、中止执行或者停止执行的决定。</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cs="仿宋_GB2312"/>
          <w:sz w:val="32"/>
          <w:szCs w:val="32"/>
          <w:lang w:eastAsia="zh-CN"/>
        </w:rPr>
      </w:pPr>
      <w:r>
        <w:rPr>
          <w:rFonts w:hint="eastAsia" w:ascii="仿宋_GB2312" w:hAnsi="仿宋_GB2312" w:eastAsia="仿宋_GB2312" w:cs="仿宋_GB2312"/>
          <w:sz w:val="32"/>
          <w:szCs w:val="32"/>
        </w:rPr>
        <w:t>决策执行部门和单位在行政决策执行过程中发现前款规定的情况</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应当及时报告决策机关</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行政决策不得因行政首长的更换而停止执行或者暂缓执行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但因法定事由并经法定程序的除外。</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重大行政决策程序应当包括公众参与、专家论证、风险评估、合法性审查和集体讨论决定等环节。</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本条例所称重大行政决策</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是指市、区人民政府依照法定职权</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对下列事项作出决定:</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（一）</w:t>
      </w:r>
      <w:r>
        <w:rPr>
          <w:rFonts w:hint="eastAsia" w:ascii="仿宋_GB2312" w:hAnsi="仿宋_GB2312" w:eastAsia="仿宋_GB2312" w:cs="仿宋_GB2312"/>
          <w:sz w:val="32"/>
          <w:szCs w:val="32"/>
        </w:rPr>
        <w:t>制定或者调整经济和社会发展重大政策措施</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（二）</w:t>
      </w:r>
      <w:r>
        <w:rPr>
          <w:rFonts w:hint="eastAsia" w:ascii="仿宋_GB2312" w:hAnsi="仿宋_GB2312" w:eastAsia="仿宋_GB2312" w:cs="仿宋_GB2312"/>
          <w:sz w:val="32"/>
          <w:szCs w:val="32"/>
        </w:rPr>
        <w:t>编制或者修改城市总体规划、镇总体规划、村庄规划、控制性详细规划和各类专业、专项规划以及产业发展规划、产业区域布局规划</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（三）</w:t>
      </w:r>
      <w:r>
        <w:rPr>
          <w:rFonts w:hint="eastAsia" w:ascii="仿宋_GB2312" w:hAnsi="仿宋_GB2312" w:eastAsia="仿宋_GB2312" w:cs="仿宋_GB2312"/>
          <w:sz w:val="32"/>
          <w:szCs w:val="32"/>
        </w:rPr>
        <w:t>制定或者调整资源开发利用、环境保护、劳动就业、社会保障、人口和计划生育、教育、医疗卫生、食品药品、住宅建设、安全生产、交通管理等方面的重大政策措施</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（四）</w:t>
      </w:r>
      <w:r>
        <w:rPr>
          <w:rFonts w:hint="eastAsia" w:ascii="仿宋_GB2312" w:hAnsi="仿宋_GB2312" w:eastAsia="仿宋_GB2312" w:cs="仿宋_GB2312"/>
          <w:sz w:val="32"/>
          <w:szCs w:val="32"/>
        </w:rPr>
        <w:t>批准重大的政府投资项目</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提前报废或者转让行政事业性单位重大国有资产</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制定或者调整市、区国有企业改革总体方案</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（五）</w:t>
      </w:r>
      <w:r>
        <w:rPr>
          <w:rFonts w:hint="eastAsia" w:ascii="仿宋_GB2312" w:hAnsi="仿宋_GB2312" w:eastAsia="仿宋_GB2312" w:cs="仿宋_GB2312"/>
          <w:sz w:val="32"/>
          <w:szCs w:val="32"/>
        </w:rPr>
        <w:t>批准或者调整大型危险化学品和有毒、有害物质生产企业以及垃圾填埋场、焚烧厂等对公共安全、生态环境保护有重大影响项目的规划选址</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（六）</w:t>
      </w:r>
      <w:r>
        <w:rPr>
          <w:rFonts w:hint="eastAsia" w:ascii="仿宋_GB2312" w:hAnsi="仿宋_GB2312" w:eastAsia="仿宋_GB2312" w:cs="仿宋_GB2312"/>
          <w:sz w:val="32"/>
          <w:szCs w:val="32"/>
        </w:rPr>
        <w:t>确定或者调整政府定价的供水、燃气、教育、基本医疗、交通运输、污水处理、垃圾处理等公用事业、公益性服务价格和经济适用房、限价房等商品价格</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（七）</w:t>
      </w:r>
      <w:r>
        <w:rPr>
          <w:rFonts w:hint="eastAsia" w:ascii="仿宋_GB2312" w:hAnsi="仿宋_GB2312" w:eastAsia="仿宋_GB2312" w:cs="仿宋_GB2312"/>
          <w:sz w:val="32"/>
          <w:szCs w:val="32"/>
        </w:rPr>
        <w:t>确定或者调整社会保障收费标准和待遇标准</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（八）</w:t>
      </w:r>
      <w:r>
        <w:rPr>
          <w:rFonts w:hint="eastAsia" w:ascii="仿宋_GB2312" w:hAnsi="仿宋_GB2312" w:eastAsia="仿宋_GB2312" w:cs="仿宋_GB2312"/>
          <w:sz w:val="32"/>
          <w:szCs w:val="32"/>
        </w:rPr>
        <w:t>确定或者调整行政组织、行政审批、行政执法等行政管理体制改革的重大政策措施</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（九）</w:t>
      </w:r>
      <w:r>
        <w:rPr>
          <w:rFonts w:hint="eastAsia" w:ascii="仿宋_GB2312" w:hAnsi="仿宋_GB2312" w:eastAsia="仿宋_GB2312" w:cs="仿宋_GB2312"/>
          <w:sz w:val="32"/>
          <w:szCs w:val="32"/>
        </w:rPr>
        <w:t>关系本地区经济社会发展全局、涉及面广和与公民、法人、其他组织利益密切相关的其他重大事项。</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市、区人民政府应当编制年度重大行政决策目录</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于每年第一季度报送本级人民代表大会常务委员会备案</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并向社会公布。</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没有列入目录</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但属于本条例第二十条规定的重大行政决策事项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市、区人民政府应当及时报送本级人民代表大会常务委员会备案。</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没有列入目录</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但市、区人民代表大会常务委员会认为属于重大行政决策的事项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市、区人民政府应当按照要求及时报送备案。</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决策起草部门应当在重大行政决策调研时形成调研报告</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并提交本级人民政府作为决策的依据。</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重大行政决策需要进行多方案比较研究的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决策起草部门应当拟订两个以上可供选择的决策方案。</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重大行政决策起草部门应当通过政府网站、报纸等媒体向社会公布决策方案</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公布的时间不得少于十五个工作日。公布的事项包括:</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（一）</w:t>
      </w:r>
      <w:r>
        <w:rPr>
          <w:rFonts w:hint="eastAsia" w:ascii="仿宋_GB2312" w:hAnsi="仿宋_GB2312" w:eastAsia="仿宋_GB2312" w:cs="仿宋_GB2312"/>
          <w:sz w:val="32"/>
          <w:szCs w:val="32"/>
        </w:rPr>
        <w:t>决策方案全文或者公众获得方案全文的途径</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（二）</w:t>
      </w:r>
      <w:r>
        <w:rPr>
          <w:rFonts w:hint="eastAsia" w:ascii="仿宋_GB2312" w:hAnsi="仿宋_GB2312" w:eastAsia="仿宋_GB2312" w:cs="仿宋_GB2312"/>
          <w:sz w:val="32"/>
          <w:szCs w:val="32"/>
        </w:rPr>
        <w:t>关于决策的目的和必要性、合法性、合理性、可行性等情况的说明</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（三）</w:t>
      </w:r>
      <w:r>
        <w:rPr>
          <w:rFonts w:hint="eastAsia" w:ascii="仿宋_GB2312" w:hAnsi="仿宋_GB2312" w:eastAsia="仿宋_GB2312" w:cs="仿宋_GB2312"/>
          <w:sz w:val="32"/>
          <w:szCs w:val="32"/>
        </w:rPr>
        <w:t>决策方案涉及的主要问题</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（四）</w:t>
      </w:r>
      <w:r>
        <w:rPr>
          <w:rFonts w:hint="eastAsia" w:ascii="仿宋_GB2312" w:hAnsi="仿宋_GB2312" w:eastAsia="仿宋_GB2312" w:cs="仿宋_GB2312"/>
          <w:sz w:val="32"/>
          <w:szCs w:val="32"/>
        </w:rPr>
        <w:t>公众提交意见的方式、途径、起止时间</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（五）</w:t>
      </w:r>
      <w:r>
        <w:rPr>
          <w:rFonts w:hint="eastAsia" w:ascii="仿宋_GB2312" w:hAnsi="仿宋_GB2312" w:eastAsia="仿宋_GB2312" w:cs="仿宋_GB2312"/>
          <w:sz w:val="32"/>
          <w:szCs w:val="32"/>
        </w:rPr>
        <w:t>接受公众意见的部门、人员和联系方式</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（六）</w:t>
      </w:r>
      <w:r>
        <w:rPr>
          <w:rFonts w:hint="eastAsia" w:ascii="仿宋_GB2312" w:hAnsi="仿宋_GB2312" w:eastAsia="仿宋_GB2312" w:cs="仿宋_GB2312"/>
          <w:sz w:val="32"/>
          <w:szCs w:val="32"/>
        </w:rPr>
        <w:t>重大行政决策起草部门认为需要说明的其他事项。</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重大行政决策起草部门应当征求人大代表、政协委员、人民团体、基层组织、社会组织的意见</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根据决策对社会的影响范围和程度</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采用座谈会、听证会以及网络征求意见等形式公开征求利害关系人以及其他公众的意见</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对文化教育、医疗卫生、资源开发、环境保护、公用事业等民生领域的重大行政决策应当进行民意调查。</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市、区人民政府应当于每年第一季度编制重大行政决策听证事项目录并向社会公布。</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列入听证目录的重大行政决策事项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决策起草部门应当组织听证。</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决策起草部门在重大行政决策出台后</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应当及时反馈公众意见的采纳情况和不采纳的理由。</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重大行政决策起草部门应当组织专家对重大行政决策方案的必要性、合法性、合理性、可行性、有效性等进行论证。</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参与重大行政决策论证的专家人选由决策起草部门从专家库中选定</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也可以通过个别邀请</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有关单位、研究机构推荐等方式选定。专家人选的选定应当注重专业性、代表性、均衡性。</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重大行政决策起草部门应当在专家论证会召开或者提供专家意见十个工作日前向专家提供与论证事项有关的材料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并如实记录专家意见。</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重大行政决策出台时</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决策起草部门应当向社会公开专家意见和对专家意见的采纳情况。</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重大行政决策起草部门应当评估决策方案的财政、社会稳定、公共安全、生态环境和法律纠纷等方面的风险</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并将风险评估报告作为决策的依据。风险评估可以委托专业研究机构进行。</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市、区人民政府应当建立和完善重大行政决策合法性审查机制</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未经合法性审查的决策方案</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不得提交审议。</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重大行政决策起草部门应当在提请审议十五个工作日之前</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将重大行政决策方案报送本级人民政府法制机构进行合法性审查。</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重大行政决策方案应当提请市、区人民政府全体会议或者常务会议集体讨论决定。与会人员的意见和建议应当如实记录、完整存档</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对不同意见应当予以记载。</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决策机关应当自作出重大行政决策之日起十个工作日内</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通过政府网站、报纸等媒体向社会公开决策事项、依据和决策结果。</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决策机关应当建立和完善重大行政决策实施后动态评估制度</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定期组织专家或者委托独立第三方对重大行政决策的实施情况进行评估</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 xml:space="preserve"> 并将评估结果作为决策变更或者继续执行的依据。</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宋体" w:hAnsi="宋体" w:eastAsia="宋体" w:cs="宋体"/>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镇人民政府的重大行政决策事项及其程序</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应当按照本条例有关市、区人民政府重大行政决策的规定执行。</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行政规范性文件应当由市、区人民政府法制机构对其合法性进行前置审查并统一编号。未经合法性审查并统一编号的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不得发布实施。</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行政规范性文件有效期一般不得超过五年</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暂行或者试行的行政规范性文件有效期一般不得超过三年。</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行政规范性文件应当通过政府公报、政府门户网站等途径向社会发布。未向社会发布的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一律无效</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不得作为行政管理的依据。</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市人民政府法制机构应当在政府门户网站建立全市行政规范性文件数据库</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确保数据内容准确、更新及时和公众查询便利。</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行政执法</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行政执法主体应当明确行政执法的职权、程序和依据</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完善执法流程统一执法文书</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健全执法档案管理制度</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并将执法职权、程序、依据和流程向社会公布。</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行政执法主体应当建立执法全过程记录制度</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加强执法台账、执法文书管理并建立档案。</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行政执法主体应当采用照相、录音、录像等音像记录方式对调查取证、询问当事人、行政强制等行政执法活动进行同步记录</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并在二十四小时内按要求将音像记录信息上传至执法信息系统或者本单位专用存储器。因设备故障、情况紧急等特殊原因无法采取音像记录方式记录执法过程的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行政执法人员应当对执法过程进行文字记录由参与执法的人员共同签名确认后存档。</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行政执法主体应当严格遵守法律、法规、规章规定的行政执法办理期限</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行政执法主体明确承诺的办理期限少于法律、法规、规章规定的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应当在承诺办理期限内办结。</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公民、法人或者其他组织在紧急情况下请求行政执法主体履行保护其人身权、财产权的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具有法定职责的行政执法主体应当立即履行。</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市级行政执法主体应当建立健全行政执法裁量权基准制度</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制定行政执法裁量权基准</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细化、量化行政裁量标准</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规范裁量范围、种类、幅度</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由市人民政府法制机构审查后</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 xml:space="preserve"> 统一向社会发布。</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行政执法主体应当按照行政执法裁量权基准进行行政执法。市、区人民政府法制机构应当对行政执法主体执行行政执法裁量权基准进行监督。</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行政执法主体应当对重大专项行政执法活动的法律风险和社会风险进行评估</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在部署重大专项行政执法活动时</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应当根据评估结果有针对性地采取应对措施。</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行政执法主体对行政执法权限、标准等事项产生争议的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应当书面提交本级人民政府法制机构进行协调</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协调不成的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由人民政府法制机构提出处理意见报本级人民政府决定</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市行政执法主体与区行政执法主体之间</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不同区的行政执法主体之间就行政执法事项产生争议</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应当书面提交市人民政府法制机构进行协调</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协调不成的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由市人民政府法制机构提出处理意见报市人民政府决定。涉及国家、省驻穗单位的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由市人民政府报请省人民政府协调解决。</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市人民政府应当建立和完善综合行政执法机构和相关行政主管部门之间的分工协作机制。</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行政处罚权由综合行政执法机构集中行使的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相关行政主管部门不得怠于履行法定监管职责</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应当加强事中事后监管</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发现需要进行行政处罚的行为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应当及时将有关线索、证据等移交综合行政执法机构。</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综合行政执法机构应当采取自行巡查或者与相关行政主管部门联合巡查等方式</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对综合执法事项加强日常巡查</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及时发现并处理违法行为。</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综合行政执法机构在执法过程中需要相关行政主管部门或者单位协助确认违法事实和性质、提供有关材料的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相关行政主管部门或者单位应当在职权范围内及时予以协助</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并提供相关材料。</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行政执法主体应当对年度行政执法情况进行统计、分析</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并报送本级人民政府法制机构。市、区人民政府法制机构应当对行政执法情况进行综合分析</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形成行政执法年度分析报告</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提交本级人民政府。</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行政执法主体应当在每年第一季度通过政府门户网站和本部门网站向社会公开上年度行政处罚、行政许可、行政强制、行政征收、行政检查、行政给付等行政执法情况和有关行政复议、行政诉讼情况。</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行政执法情况公开的格式、内容和要求由市人民政府法制机构统一确定。</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市、区人民政府应当实行行政许可目录化、编码化、标准化管理</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优化行政许可流程</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建立综合受理、分类审批、统一出件、限时办结的行政许可管理模式</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 xml:space="preserve"> 推行行政许可网上办理。</w:t>
      </w:r>
    </w:p>
    <w:p>
      <w:pPr>
        <w:keepNext w:val="0"/>
        <w:keepLines w:val="0"/>
        <w:pageBreakBefore w:val="0"/>
        <w:widowControl/>
        <w:kinsoku/>
        <w:wordWrap/>
        <w:overflowPunct/>
        <w:topLinePunct w:val="0"/>
        <w:autoSpaceDE/>
        <w:autoSpaceDN/>
        <w:bidi w:val="0"/>
        <w:adjustRightInd/>
        <w:spacing w:line="560" w:lineRule="exact"/>
        <w:ind w:right="0" w:rightChars="0"/>
        <w:jc w:val="left"/>
        <w:textAlignment w:val="auto"/>
        <w:rPr>
          <w:rFonts w:hint="eastAsia" w:ascii="仿宋_GB2312" w:hAnsi="仿宋_GB2312" w:eastAsia="仿宋_GB2312" w:cs="仿宋_GB2312"/>
          <w:kern w:val="2"/>
          <w:sz w:val="32"/>
          <w:szCs w:val="32"/>
        </w:rPr>
      </w:pP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市、区人民政府应当规范行政许可中介服务</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推进中介服务行业公平竞争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不得为当事人指定中介服务机构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不得收取中介服务机构任何形式的费用、报酬或者捐赠。</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市、区人民政府应当建立行政执法的保障机制</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保障行政执法主体履行行政执法职责必需的经费、场所、物资、设备与人员等。</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市、区人民政府应当加强区、镇、街道行政执法力量建设</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按照区、镇、街道行政执法主体管辖区域的面积、常住人口和案件数量等因素合理配置人员、物资、设备等行政执法资源。</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市人民政府行政管理部门依照法定程序、权限和条件</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可以将行政执法权委托或者下放给区人民政府相关行政管理部门行使。对委托或者下放的行政执法权</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市人民政府行政管理部门应当履行指导、协调和监督职责</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委托或者下放给区人民政府相关行政管理部门行使行政执法权的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市、区人民政府应当将相应的人员、物资、设备等行政执法资源配置给受委托或者承接行政执法权下放的行政执法主体。</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市、区人民政府应当建立行政执法和刑事司法衔接机制</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制定和完善案件移送标准和程序</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建立行政执法机关、公安机关、检察机关、审判机关信息共享、案情通报、案件移送制度。</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宋体" w:hAnsi="宋体" w:eastAsia="宋体" w:cs="宋体"/>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60" w:lineRule="exact"/>
        <w:ind w:left="631"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第四章  </w:t>
      </w:r>
      <w:r>
        <w:rPr>
          <w:rFonts w:hint="eastAsia" w:ascii="黑体" w:hAnsi="黑体" w:eastAsia="黑体" w:cs="黑体"/>
          <w:sz w:val="32"/>
          <w:szCs w:val="32"/>
        </w:rPr>
        <w:t>依法行政的监督</w:t>
      </w:r>
    </w:p>
    <w:p>
      <w:pPr>
        <w:keepNext w:val="0"/>
        <w:keepLines w:val="0"/>
        <w:pageBreakBefore w:val="0"/>
        <w:widowControl/>
        <w:numPr>
          <w:ilvl w:val="0"/>
          <w:numId w:val="0"/>
        </w:numPr>
        <w:kinsoku/>
        <w:wordWrap/>
        <w:overflowPunct/>
        <w:topLinePunct w:val="0"/>
        <w:autoSpaceDE/>
        <w:autoSpaceDN/>
        <w:bidi w:val="0"/>
        <w:adjustRightInd/>
        <w:snapToGrid w:val="0"/>
        <w:spacing w:line="560" w:lineRule="exact"/>
        <w:ind w:left="631" w:leftChars="0" w:right="0" w:rightChars="0"/>
        <w:jc w:val="left"/>
        <w:textAlignment w:val="auto"/>
        <w:outlineLvl w:val="9"/>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市、区、镇人民政府应当每年向本级人民代表大会或者其常务委员会和上一级人民政府报告依法行政工作</w:t>
      </w:r>
      <w:r>
        <w:rPr>
          <w:rFonts w:hint="eastAsia" w:ascii="仿宋_GB2312" w:hAnsi="仿宋_GB2312" w:eastAsia="仿宋_GB2312" w:cs="仿宋_GB2312"/>
          <w:sz w:val="32"/>
          <w:szCs w:val="32"/>
          <w:lang w:eastAsia="zh-CN"/>
        </w:rPr>
        <w:t>情况。</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市、区人民政府行政管理部门应当每年向本级人民政府和上一级人民政府有关部门报告依法行政工作情况。</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街道办事处应当每年向区人民政府报告依法行政工作情况</w:t>
      </w:r>
      <w:r>
        <w:rPr>
          <w:rFonts w:hint="eastAsia" w:ascii="仿宋_GB2312" w:hAnsi="仿宋_GB2312" w:eastAsia="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依法行政工作情况报告应当包括依法行政工作的主要措施、存在的问题和对策、重大行政决策的决定和执行情况以及行政诉讼、行政复议、群众举报和投诉等情况</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报告应当向社会公开</w:t>
      </w:r>
      <w:r>
        <w:rPr>
          <w:rFonts w:hint="eastAsia" w:ascii="仿宋_GB2312" w:hAnsi="仿宋_GB2312" w:eastAsia="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本市地方性法规组织实施部门或者单位应当在法规实施之日起三十日前</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向市人民代表大会有关专门委员会报告法规实施准备情况</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包括法规实施前应当完成的工作、法规实施必须具备的条件等落实情况和实施工作方案。</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市人民代表大会常务委员会开展执法检查时</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市人民政府应当向执法检查组作法规实施情况的报告</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报告包括以下主要内容:</w:t>
      </w:r>
    </w:p>
    <w:p>
      <w:pPr>
        <w:keepNext w:val="0"/>
        <w:keepLines w:val="0"/>
        <w:pageBreakBefore w:val="0"/>
        <w:widowControl/>
        <w:kinsoku/>
        <w:wordWrap/>
        <w:overflowPunct/>
        <w:topLinePunct w:val="0"/>
        <w:autoSpaceDE/>
        <w:autoSpaceDN/>
        <w:bidi w:val="0"/>
        <w:adjustRightInd/>
        <w:snapToGrid w:val="0"/>
        <w:spacing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（一）</w:t>
      </w:r>
      <w:r>
        <w:rPr>
          <w:rFonts w:hint="eastAsia" w:ascii="仿宋_GB2312" w:hAnsi="仿宋_GB2312" w:eastAsia="仿宋_GB2312" w:cs="仿宋_GB2312"/>
          <w:sz w:val="32"/>
          <w:szCs w:val="32"/>
        </w:rPr>
        <w:t>法规的实施情况</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包括法规规定的主要制度的落实情况、法规规定职责的履行情况、法规要求制定的具体办法或者实施细则的制定情况、法规的宣传情况等</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（二）</w:t>
      </w:r>
      <w:r>
        <w:rPr>
          <w:rFonts w:hint="eastAsia" w:ascii="仿宋_GB2312" w:hAnsi="仿宋_GB2312" w:eastAsia="仿宋_GB2312" w:cs="仿宋_GB2312"/>
          <w:sz w:val="32"/>
          <w:szCs w:val="32"/>
        </w:rPr>
        <w:t>有关行政管理部门、单位及其工作人员违反法规规定被追究行政责任的情况</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（三）</w:t>
      </w:r>
      <w:r>
        <w:rPr>
          <w:rFonts w:hint="eastAsia" w:ascii="仿宋_GB2312" w:hAnsi="仿宋_GB2312" w:eastAsia="仿宋_GB2312" w:cs="仿宋_GB2312"/>
          <w:sz w:val="32"/>
          <w:szCs w:val="32"/>
        </w:rPr>
        <w:t>法规实施存在的问题与对策</w:t>
      </w:r>
      <w:r>
        <w:rPr>
          <w:rFonts w:hint="eastAsia" w:ascii="仿宋_GB2312" w:hAnsi="仿宋_GB2312" w:cs="仿宋_GB2312"/>
          <w:sz w:val="32"/>
          <w:szCs w:val="32"/>
          <w:lang w:eastAsia="zh-CN"/>
        </w:rPr>
        <w:t>；</w:t>
      </w:r>
    </w:p>
    <w:p>
      <w:pPr>
        <w:keepNext w:val="0"/>
        <w:keepLines w:val="0"/>
        <w:pageBreakBefore w:val="0"/>
        <w:widowControl/>
        <w:kinsoku/>
        <w:wordWrap/>
        <w:overflowPunct/>
        <w:topLinePunct w:val="0"/>
        <w:autoSpaceDE/>
        <w:autoSpaceDN/>
        <w:bidi w:val="0"/>
        <w:adjustRightInd/>
        <w:snapToGrid w:val="0"/>
        <w:spacing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（四）</w:t>
      </w:r>
      <w:r>
        <w:rPr>
          <w:rFonts w:hint="eastAsia" w:ascii="仿宋_GB2312" w:hAnsi="仿宋_GB2312" w:eastAsia="仿宋_GB2312" w:cs="仿宋_GB2312"/>
          <w:sz w:val="32"/>
          <w:szCs w:val="32"/>
        </w:rPr>
        <w:t>其他需要报告的情况。</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市、区人民政府应当于每年第四季度编制下一年度提请本级人民代表大会及其常务委员会讨论决定重大事项的计划</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经本级人民代表大会常务委员会相关工作机构审查后</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提请常务委员会主任会议决定。</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市、区人民政府应当按时向本级人民代表大会常务委员会提出有关重大事项的议案</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不能按时提案的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应当向主任会议说明情况。</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没有列入重大事项计划</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但市、区人民代表大会常务委员会认为应当由其讨论决定的重大事项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市、区人民政府应当及时提出议案。</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市市、区财政部门应当细化预算编制项目</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提高预算编制的合法性、完整性、科学性和规范性。预决算编制口径应当相对应并保持相对稳定</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对编制口径作出调整的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应当予以详细说明。</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有关预算报告报表的内容要求、具体格式</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由市、区财政部门按照国家、省、市的规定提出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并报本级人民代表大会常务委员会相关工作机构审定。</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市、区政府投资主管部门应当会同有关部门分类、分项目编制政府投资重大项目计划</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计划应当包括项目的建设规模、总投资、年度投资和资金来源等内容。</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对于意见分歧较大的预算项目和政府重大投资项目</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市、区人民代表大会及其常务委员会应当建立单项表决机制。</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各级人民代表大会及其常务委员会对于不符合编制格式、内容和口径要求的预算和政府投资重大项目计划</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可以要求有关部门重新编制并报送审查批准。</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第五十三条</w:t>
      </w:r>
      <w:r>
        <w:rPr>
          <w:rFonts w:hint="eastAsia" w:ascii="仿宋_GB2312" w:hAnsi="仿宋_GB2312" w:eastAsia="仿宋_GB2312" w:cs="仿宋_GB2312"/>
          <w:sz w:val="32"/>
          <w:szCs w:val="32"/>
          <w:lang w:val="en-US" w:eastAsia="zh-CN"/>
        </w:rPr>
        <w:t xml:space="preserve">  市、区人民政府法制机构应当通过下列方式对本级人民政府行政管理部门以及下级人民政府的行政行为实施监督:</w:t>
      </w:r>
    </w:p>
    <w:p>
      <w:pPr>
        <w:keepNext w:val="0"/>
        <w:keepLines w:val="0"/>
        <w:pageBreakBefore w:val="0"/>
        <w:widowControl/>
        <w:kinsoku/>
        <w:wordWrap/>
        <w:overflowPunct/>
        <w:topLinePunct w:val="0"/>
        <w:autoSpaceDE/>
        <w:autoSpaceDN/>
        <w:bidi w:val="0"/>
        <w:adjustRightInd/>
        <w:snapToGrid w:val="0"/>
        <w:spacing w:line="560" w:lineRule="exact"/>
        <w:ind w:right="0" w:rightChars="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（一）</w:t>
      </w:r>
      <w:r>
        <w:rPr>
          <w:rFonts w:hint="eastAsia" w:ascii="仿宋_GB2312" w:hAnsi="仿宋_GB2312" w:eastAsia="仿宋_GB2312" w:cs="仿宋_GB2312"/>
          <w:sz w:val="32"/>
          <w:szCs w:val="32"/>
          <w:lang w:val="en-US" w:eastAsia="zh-CN"/>
        </w:rPr>
        <w:t>重大行政决策、规范性文件的合法性审查</w:t>
      </w:r>
      <w:r>
        <w:rPr>
          <w:rFonts w:hint="eastAsia" w:ascii="仿宋_GB2312" w:hAnsi="仿宋_GB2312" w:cs="仿宋_GB2312"/>
          <w:sz w:val="32"/>
          <w:szCs w:val="32"/>
          <w:lang w:val="en-US" w:eastAsia="zh-CN"/>
        </w:rPr>
        <w:t>；</w:t>
      </w:r>
    </w:p>
    <w:p>
      <w:pPr>
        <w:keepNext w:val="0"/>
        <w:keepLines w:val="0"/>
        <w:pageBreakBefore w:val="0"/>
        <w:widowControl/>
        <w:kinsoku/>
        <w:wordWrap/>
        <w:overflowPunct/>
        <w:topLinePunct w:val="0"/>
        <w:autoSpaceDE/>
        <w:autoSpaceDN/>
        <w:bidi w:val="0"/>
        <w:adjustRightInd/>
        <w:snapToGrid w:val="0"/>
        <w:spacing w:line="560" w:lineRule="exact"/>
        <w:ind w:right="0" w:rightChars="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（二）</w:t>
      </w:r>
      <w:r>
        <w:rPr>
          <w:rFonts w:hint="eastAsia" w:ascii="仿宋_GB2312" w:hAnsi="仿宋_GB2312" w:eastAsia="仿宋_GB2312" w:cs="仿宋_GB2312"/>
          <w:sz w:val="32"/>
          <w:szCs w:val="32"/>
          <w:lang w:val="en-US" w:eastAsia="zh-CN"/>
        </w:rPr>
        <w:t>行政执法监督检查、案卷评查和投诉处理</w:t>
      </w:r>
      <w:r>
        <w:rPr>
          <w:rFonts w:hint="eastAsia" w:ascii="仿宋_GB2312" w:hAnsi="仿宋_GB2312" w:cs="仿宋_GB2312"/>
          <w:sz w:val="32"/>
          <w:szCs w:val="32"/>
          <w:lang w:val="en-US" w:eastAsia="zh-CN"/>
        </w:rPr>
        <w:t>；</w:t>
      </w:r>
    </w:p>
    <w:p>
      <w:pPr>
        <w:keepNext w:val="0"/>
        <w:keepLines w:val="0"/>
        <w:pageBreakBefore w:val="0"/>
        <w:widowControl/>
        <w:kinsoku/>
        <w:wordWrap/>
        <w:overflowPunct/>
        <w:topLinePunct w:val="0"/>
        <w:autoSpaceDE/>
        <w:autoSpaceDN/>
        <w:bidi w:val="0"/>
        <w:adjustRightInd/>
        <w:snapToGrid w:val="0"/>
        <w:spacing w:line="560" w:lineRule="exact"/>
        <w:ind w:right="0" w:rightChars="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（三）</w:t>
      </w:r>
      <w:r>
        <w:rPr>
          <w:rFonts w:hint="eastAsia" w:ascii="仿宋_GB2312" w:hAnsi="仿宋_GB2312" w:eastAsia="仿宋_GB2312" w:cs="仿宋_GB2312"/>
          <w:sz w:val="32"/>
          <w:szCs w:val="32"/>
          <w:lang w:val="en-US" w:eastAsia="zh-CN"/>
        </w:rPr>
        <w:t>行政复议案件处理</w:t>
      </w:r>
      <w:r>
        <w:rPr>
          <w:rFonts w:hint="eastAsia" w:ascii="仿宋_GB2312" w:hAnsi="仿宋_GB2312" w:cs="仿宋_GB2312"/>
          <w:sz w:val="32"/>
          <w:szCs w:val="32"/>
          <w:lang w:val="en-US" w:eastAsia="zh-CN"/>
        </w:rPr>
        <w:t>；</w:t>
      </w:r>
    </w:p>
    <w:p>
      <w:pPr>
        <w:keepNext w:val="0"/>
        <w:keepLines w:val="0"/>
        <w:pageBreakBefore w:val="0"/>
        <w:widowControl/>
        <w:kinsoku/>
        <w:wordWrap/>
        <w:overflowPunct/>
        <w:topLinePunct w:val="0"/>
        <w:autoSpaceDE/>
        <w:autoSpaceDN/>
        <w:bidi w:val="0"/>
        <w:adjustRightInd/>
        <w:snapToGrid w:val="0"/>
        <w:spacing w:line="560" w:lineRule="exact"/>
        <w:ind w:right="0" w:rightChars="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（四）</w:t>
      </w:r>
      <w:r>
        <w:rPr>
          <w:rFonts w:hint="eastAsia" w:ascii="仿宋_GB2312" w:hAnsi="仿宋_GB2312" w:eastAsia="仿宋_GB2312" w:cs="仿宋_GB2312"/>
          <w:sz w:val="32"/>
          <w:szCs w:val="32"/>
          <w:lang w:val="en-US" w:eastAsia="zh-CN"/>
        </w:rPr>
        <w:t>政府合同审查</w:t>
      </w:r>
      <w:r>
        <w:rPr>
          <w:rFonts w:hint="eastAsia" w:ascii="仿宋_GB2312" w:hAnsi="仿宋_GB2312" w:cs="仿宋_GB2312"/>
          <w:sz w:val="32"/>
          <w:szCs w:val="32"/>
          <w:lang w:val="en-US" w:eastAsia="zh-CN"/>
        </w:rPr>
        <w:t>；</w:t>
      </w:r>
    </w:p>
    <w:p>
      <w:pPr>
        <w:keepNext w:val="0"/>
        <w:keepLines w:val="0"/>
        <w:pageBreakBefore w:val="0"/>
        <w:widowControl/>
        <w:kinsoku/>
        <w:wordWrap/>
        <w:overflowPunct/>
        <w:topLinePunct w:val="0"/>
        <w:autoSpaceDE/>
        <w:autoSpaceDN/>
        <w:bidi w:val="0"/>
        <w:adjustRightInd/>
        <w:snapToGrid w:val="0"/>
        <w:spacing w:line="560" w:lineRule="exact"/>
        <w:ind w:right="0" w:rightChars="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cs="仿宋_GB2312"/>
          <w:sz w:val="32"/>
          <w:szCs w:val="32"/>
          <w:lang w:val="en-US" w:eastAsia="zh-CN"/>
        </w:rPr>
        <w:t>（五）</w:t>
      </w:r>
      <w:r>
        <w:rPr>
          <w:rFonts w:hint="eastAsia" w:ascii="仿宋_GB2312" w:hAnsi="仿宋_GB2312" w:eastAsia="仿宋_GB2312" w:cs="仿宋_GB2312"/>
          <w:sz w:val="32"/>
          <w:szCs w:val="32"/>
          <w:lang w:val="en-US" w:eastAsia="zh-CN"/>
        </w:rPr>
        <w:t>法律、法规、规章规定的其他方式。市人民政府法制机构应当建立全市统一的行政执法监督信息系统</w:t>
      </w:r>
      <w:r>
        <w:rPr>
          <w:rFonts w:hint="eastAsia" w:ascii="仿宋_GB2312" w:hAnsi="仿宋_GB2312" w:cs="仿宋_GB2312"/>
          <w:sz w:val="32"/>
          <w:szCs w:val="32"/>
          <w:lang w:val="en-US" w:eastAsia="zh-CN"/>
        </w:rPr>
        <w:t>，</w:t>
      </w:r>
      <w:r>
        <w:rPr>
          <w:rFonts w:hint="eastAsia" w:ascii="仿宋_GB2312" w:hAnsi="仿宋_GB2312" w:eastAsia="仿宋_GB2312" w:cs="仿宋_GB2312"/>
          <w:sz w:val="32"/>
          <w:szCs w:val="32"/>
          <w:lang w:val="en-US" w:eastAsia="zh-CN"/>
        </w:rPr>
        <w:t>实现行政执法全过程监督的信息化。</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第五十四条</w:t>
      </w:r>
      <w:r>
        <w:rPr>
          <w:rFonts w:hint="eastAsia" w:ascii="仿宋_GB2312" w:hAnsi="仿宋_GB2312" w:eastAsia="仿宋_GB2312" w:cs="仿宋_GB2312"/>
          <w:sz w:val="32"/>
          <w:szCs w:val="32"/>
          <w:lang w:val="en-US" w:eastAsia="zh-CN"/>
        </w:rPr>
        <w:t xml:space="preserve">  审计机关应当对公共资金、国有资产、国有资源的管理、分配、使用和领导干部履行经济责任情况等依法进行全面审计</w:t>
      </w:r>
      <w:r>
        <w:rPr>
          <w:rFonts w:hint="eastAsia" w:ascii="仿宋_GB2312" w:hAnsi="仿宋_GB2312" w:cs="仿宋_GB2312"/>
          <w:sz w:val="32"/>
          <w:szCs w:val="32"/>
          <w:lang w:val="en-US" w:eastAsia="zh-CN"/>
        </w:rPr>
        <w:t>，</w:t>
      </w:r>
      <w:r>
        <w:rPr>
          <w:rFonts w:hint="eastAsia" w:ascii="仿宋_GB2312" w:hAnsi="仿宋_GB2312" w:eastAsia="仿宋_GB2312" w:cs="仿宋_GB2312"/>
          <w:sz w:val="32"/>
          <w:szCs w:val="32"/>
          <w:lang w:val="en-US" w:eastAsia="zh-CN"/>
        </w:rPr>
        <w:t>对领导干部实行自然资源资产离任审计。</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市、区有关行政管理部门、金融机构及国有企事业单位应当根据审计工作需要</w:t>
      </w:r>
      <w:r>
        <w:rPr>
          <w:rFonts w:hint="eastAsia" w:ascii="仿宋_GB2312" w:hAnsi="仿宋_GB2312" w:cs="仿宋_GB2312"/>
          <w:sz w:val="32"/>
          <w:szCs w:val="32"/>
          <w:lang w:val="en-US" w:eastAsia="zh-CN"/>
        </w:rPr>
        <w:t>，</w:t>
      </w:r>
      <w:r>
        <w:rPr>
          <w:rFonts w:hint="eastAsia" w:ascii="仿宋_GB2312" w:hAnsi="仿宋_GB2312" w:eastAsia="仿宋_GB2312" w:cs="仿宋_GB2312"/>
          <w:sz w:val="32"/>
          <w:szCs w:val="32"/>
          <w:lang w:val="en-US" w:eastAsia="zh-CN"/>
        </w:rPr>
        <w:t>依法全面、及时向审计机关提供与本单位、本系统履行职责相关的电子数据信息和必要的技术文档。</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对审计查出的问题</w:t>
      </w:r>
      <w:r>
        <w:rPr>
          <w:rFonts w:hint="eastAsia" w:ascii="仿宋_GB2312" w:hAnsi="仿宋_GB2312" w:cs="仿宋_GB2312"/>
          <w:sz w:val="32"/>
          <w:szCs w:val="32"/>
          <w:lang w:val="en-US" w:eastAsia="zh-CN"/>
        </w:rPr>
        <w:t>，</w:t>
      </w:r>
      <w:r>
        <w:rPr>
          <w:rFonts w:hint="eastAsia" w:ascii="仿宋_GB2312" w:hAnsi="仿宋_GB2312" w:eastAsia="仿宋_GB2312" w:cs="仿宋_GB2312"/>
          <w:sz w:val="32"/>
          <w:szCs w:val="32"/>
          <w:lang w:val="en-US" w:eastAsia="zh-CN"/>
        </w:rPr>
        <w:t>被审计单位应当及时整改</w:t>
      </w:r>
      <w:r>
        <w:rPr>
          <w:rFonts w:hint="eastAsia" w:ascii="仿宋_GB2312" w:hAnsi="仿宋_GB2312" w:cs="仿宋_GB2312"/>
          <w:sz w:val="32"/>
          <w:szCs w:val="32"/>
          <w:lang w:val="en-US" w:eastAsia="zh-CN"/>
        </w:rPr>
        <w:t>，</w:t>
      </w:r>
      <w:r>
        <w:rPr>
          <w:rFonts w:hint="eastAsia" w:ascii="仿宋_GB2312" w:hAnsi="仿宋_GB2312" w:eastAsia="仿宋_GB2312" w:cs="仿宋_GB2312"/>
          <w:sz w:val="32"/>
          <w:szCs w:val="32"/>
          <w:lang w:val="en-US" w:eastAsia="zh-CN"/>
        </w:rPr>
        <w:t>并在规定时间内将整改情况书面告知审计机关</w:t>
      </w:r>
      <w:r>
        <w:rPr>
          <w:rFonts w:hint="eastAsia" w:ascii="仿宋_GB2312" w:hAnsi="仿宋_GB2312" w:cs="仿宋_GB2312"/>
          <w:sz w:val="32"/>
          <w:szCs w:val="32"/>
          <w:lang w:val="en-US" w:eastAsia="zh-CN"/>
        </w:rPr>
        <w:t>，</w:t>
      </w:r>
      <w:r>
        <w:rPr>
          <w:rFonts w:hint="eastAsia" w:ascii="仿宋_GB2312" w:hAnsi="仿宋_GB2312" w:eastAsia="仿宋_GB2312" w:cs="仿宋_GB2312"/>
          <w:sz w:val="32"/>
          <w:szCs w:val="32"/>
          <w:lang w:val="en-US" w:eastAsia="zh-CN"/>
        </w:rPr>
        <w:t>同时向本级人民政府或者主管部门报告</w:t>
      </w:r>
      <w:r>
        <w:rPr>
          <w:rFonts w:hint="eastAsia" w:ascii="仿宋_GB2312" w:hAnsi="仿宋_GB2312" w:cs="仿宋_GB2312"/>
          <w:sz w:val="32"/>
          <w:szCs w:val="32"/>
          <w:lang w:val="en-US" w:eastAsia="zh-CN"/>
        </w:rPr>
        <w:t>，</w:t>
      </w:r>
      <w:r>
        <w:rPr>
          <w:rFonts w:hint="eastAsia" w:ascii="仿宋_GB2312" w:hAnsi="仿宋_GB2312" w:eastAsia="仿宋_GB2312" w:cs="仿宋_GB2312"/>
          <w:sz w:val="32"/>
          <w:szCs w:val="32"/>
          <w:lang w:val="en-US" w:eastAsia="zh-CN"/>
        </w:rPr>
        <w:t>并向社会公开。</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宋体" w:hAnsi="宋体" w:cs="宋体"/>
          <w:sz w:val="32"/>
          <w:szCs w:val="32"/>
          <w:lang w:val="en-US" w:eastAsia="zh-CN"/>
        </w:rPr>
      </w:pPr>
      <w:r>
        <w:rPr>
          <w:rFonts w:hint="eastAsia" w:ascii="仿宋_GB2312" w:hAnsi="仿宋_GB2312" w:eastAsia="仿宋_GB2312" w:cs="仿宋_GB2312"/>
          <w:sz w:val="32"/>
          <w:szCs w:val="32"/>
          <w:lang w:val="en-US" w:eastAsia="zh-CN"/>
        </w:rPr>
        <w:t>市人民政府应当在每年下半年向市人民代表大会常务委员会报告上一年度审计查出问题的整改落实情况。</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审判机关、检察机关对行政机关提出司法建议、检察建议的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行政机关应当及时将研究处理情况书面告知审判机关、检察机关。不予采纳的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应当说明理由。</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行政机关应当在收到本单位败诉的行政诉讼案件判决、裁定或者司法建议书、检察建议书之日起十个工作日内</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将上述文书报市、区人民政府法制机构备案。</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市、区人民政府应当对行政机关负责人出庭应诉情况进行年度统计并向社会公开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对实施行政行为存在的问题及时整改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提高依法行政能力和水平。</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市、区人民政府应当建立健全公众投诉、举报统一受理、分类处置、统一反馈机制</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指定专门机构负责投诉、举报的统一受理、统一反馈</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在本行政区域内建立统一的投诉、举报平台</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拓展投诉、举报渠道</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向社会公布投诉、举报网址、电话号码、通信地址及电子邮箱等。负责投诉、举报统一受理、统一反馈的专门机构应当在接受投诉、举报后十个工作日内向投诉、举报人反馈处理结果</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十个工作日内不能办结的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应当及时通过电话、短信、电子邮件、网上公示等方式向投诉、举报人反馈处理进展情况。</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宋体" w:hAnsi="宋体" w:eastAsia="宋体" w:cs="宋体"/>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60" w:lineRule="exact"/>
        <w:ind w:left="631"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依法行政的保障</w:t>
      </w:r>
    </w:p>
    <w:p>
      <w:pPr>
        <w:keepNext w:val="0"/>
        <w:keepLines w:val="0"/>
        <w:pageBreakBefore w:val="0"/>
        <w:widowControl/>
        <w:numPr>
          <w:ilvl w:val="0"/>
          <w:numId w:val="0"/>
        </w:numPr>
        <w:kinsoku/>
        <w:wordWrap/>
        <w:overflowPunct/>
        <w:topLinePunct w:val="0"/>
        <w:autoSpaceDE/>
        <w:autoSpaceDN/>
        <w:bidi w:val="0"/>
        <w:adjustRightInd/>
        <w:snapToGrid w:val="0"/>
        <w:spacing w:line="560" w:lineRule="exact"/>
        <w:ind w:left="631" w:leftChars="0" w:right="0" w:rightChars="0"/>
        <w:jc w:val="left"/>
        <w:textAlignment w:val="auto"/>
        <w:outlineLvl w:val="9"/>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市、区人民政府应当完善工作人员定期学法制度</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将法律知识培训作为年度培训的必选课程</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每年至少举办一期法治专题培训班、两期以上人民政府组成人员参加的法治专题讲座。</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市、区人民政府应当完善领导干部任职前法律知识考查和依法行政能力测试制度</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实行公务员晋升依法行政考核制度。考查、测试和考核结果作为任职或者晋升的参考。</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市、区人民政府常务会议应当每年不少于两次听取依法行政工作汇报</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及时研究解决本行政区域内依法行政中存在的重大问题。</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市、区人民政府应当建立健全政府法律顾问制度</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完善政府法律顾问工作机制。重大行政决策、基层社会矛盾化解等重大行政事务应当经政府法律顾问提出意见。</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宋体" w:hAnsi="宋体" w:eastAsia="宋体" w:cs="宋体"/>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镇人民政府、街道办事处应当明确专门工作机构或者人员</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负责依法行政的协调、指导和监督等工作。</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市、区人民政府应当鼓励和支持各级行政机关在法律、法规、规章规定的范围内</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结合本地区和本部门工作的实际</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创新依法行政工作机制和工作方式</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及时总结依法行政工作先进经验并予以推广。</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市、区人民政府应当建立依法行政考核制度</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细化考核内容和标准</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重点对制度建设、行政决策、行政执法、行政监督、政务公开、社会矛盾纠纷处理等情况进行考核。市、区人民政府行政管理部门可以根据工作需要</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建立本部门的依法行政考核制度。</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考核的结果应当纳入绩效考核等综合考核指标体系</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作为绩效评定、职务调整和奖惩的依据。依法行政考核结果的权重不得低于综合考核总分的百分之十。</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市人民政府法制机构应当加强法治政府建设理论和本行政区域依法行政的全局性、前瞻性、战略性问题的研究</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编制法治政府建设规划</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科学谋划法治政府建设的重点领域和推进措施。</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宋体" w:hAnsi="宋体" w:eastAsia="宋体" w:cs="宋体"/>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60" w:lineRule="exact"/>
        <w:ind w:left="631"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w:t>
      </w:r>
      <w:bookmarkStart w:id="0" w:name="_GoBack"/>
      <w:bookmarkEnd w:id="0"/>
      <w:r>
        <w:rPr>
          <w:rFonts w:hint="eastAsia" w:ascii="黑体" w:hAnsi="黑体" w:eastAsia="黑体" w:cs="黑体"/>
          <w:sz w:val="32"/>
          <w:szCs w:val="32"/>
        </w:rPr>
        <w:t>责任</w:t>
      </w:r>
    </w:p>
    <w:p>
      <w:pPr>
        <w:keepNext w:val="0"/>
        <w:keepLines w:val="0"/>
        <w:pageBreakBefore w:val="0"/>
        <w:widowControl/>
        <w:numPr>
          <w:ilvl w:val="0"/>
          <w:numId w:val="0"/>
        </w:numPr>
        <w:kinsoku/>
        <w:wordWrap/>
        <w:overflowPunct/>
        <w:topLinePunct w:val="0"/>
        <w:autoSpaceDE/>
        <w:autoSpaceDN/>
        <w:bidi w:val="0"/>
        <w:adjustRightInd/>
        <w:snapToGrid w:val="0"/>
        <w:spacing w:line="560" w:lineRule="exact"/>
        <w:ind w:left="631" w:leftChars="0" w:right="0" w:rightChars="0"/>
        <w:jc w:val="left"/>
        <w:textAlignment w:val="auto"/>
        <w:outlineLvl w:val="9"/>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决策起草部门、决策机关、决策执行部门和单位及其工作人员</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未按照本条例规定的程序起草行政决策、作出行政决策、实施行政决策的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由上级行政机关或者有关部门责令改正、通报批评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情节严重的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对直接负责的主管人员和其他直接责任人员依法给予处分。</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行政执法主体未按照有关法律、法规和本条例规定的程序、期限实施行政执法行为的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由上级行政机关或者有关部门责令改正、通报批评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情节严重的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对直接负责的主管人员和其他直接责任人员依法给予处分。</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相关行政主管部门或者单位违反本条例第四十二条的规定</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怠于履行法定监管职责</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或者未给予综合行政执法机构协助、提供相关材料的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由上级行政机关或者有关部门责令改正、通报批评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情节严重的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对直接负责的主管人员和其他直接责任人员依法给予处分。</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市、区人民政府财政部门、政府投资主管部门未按照本条例第五十二条规定的要求编制财政预算、政府投资重大项目计划的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由上级行政机关或者有关部门责令改正、通报批评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情节严重的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对直接负责的主管人员和其他直接责任人员依法给予处分。</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负责投诉、举报统一受理、统一反馈的专门机构违反本条例第五十六条的规定</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不受理公众的投诉、举报或者未按规定的期限向投诉、举报人反馈处理结果和处理进展情况的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由上级行政机关或者有关部门责令改正、通报批评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情节严重的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对直接负责的主管人员和其他直接责任人员依法给予处分。</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xml:space="preserve">  有关行政管理部门或者法律、法规授权的组织未履行或者未正确履行法定职责的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由上级行政机关或者有关部门责令改正、通报批评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情节严重的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对直接负责的主管人员和其他直接责任人员依法给予处分。</w:t>
      </w:r>
    </w:p>
    <w:p>
      <w:pPr>
        <w:keepNext w:val="0"/>
        <w:keepLines w:val="0"/>
        <w:pageBreakBefore w:val="0"/>
        <w:widowControl/>
        <w:kinsoku/>
        <w:wordWrap/>
        <w:overflowPunct/>
        <w:topLinePunct w:val="0"/>
        <w:autoSpaceDE/>
        <w:autoSpaceDN/>
        <w:bidi w:val="0"/>
        <w:adjustRightInd/>
        <w:snapToGrid w:val="0"/>
        <w:spacing w:line="560" w:lineRule="exact"/>
        <w:ind w:left="0" w:leftChars="0" w:right="0" w:rightChars="0" w:firstLine="631" w:firstLineChars="0"/>
        <w:jc w:val="left"/>
        <w:textAlignment w:val="auto"/>
        <w:outlineLvl w:val="9"/>
        <w:rPr>
          <w:rFonts w:hint="eastAsia" w:ascii="宋体" w:hAnsi="宋体" w:eastAsia="宋体" w:cs="宋体"/>
          <w:sz w:val="32"/>
          <w:szCs w:val="32"/>
        </w:rPr>
      </w:pPr>
    </w:p>
    <w:p>
      <w:pPr>
        <w:keepNext w:val="0"/>
        <w:keepLines w:val="0"/>
        <w:pageBreakBefore w:val="0"/>
        <w:widowControl/>
        <w:numPr>
          <w:ilvl w:val="0"/>
          <w:numId w:val="0"/>
        </w:numPr>
        <w:kinsoku/>
        <w:wordWrap/>
        <w:overflowPunct/>
        <w:topLinePunct w:val="0"/>
        <w:autoSpaceDE/>
        <w:autoSpaceDN/>
        <w:bidi w:val="0"/>
        <w:adjustRightInd/>
        <w:snapToGrid w:val="0"/>
        <w:spacing w:line="560" w:lineRule="exact"/>
        <w:ind w:left="631"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numPr>
          <w:ilvl w:val="0"/>
          <w:numId w:val="0"/>
        </w:numPr>
        <w:kinsoku/>
        <w:wordWrap/>
        <w:overflowPunct/>
        <w:topLinePunct w:val="0"/>
        <w:autoSpaceDE/>
        <w:autoSpaceDN/>
        <w:bidi w:val="0"/>
        <w:adjustRightInd/>
        <w:snapToGrid w:val="0"/>
        <w:spacing w:line="560" w:lineRule="exact"/>
        <w:ind w:left="631" w:leftChars="0" w:right="0" w:rightChars="0"/>
        <w:jc w:val="left"/>
        <w:textAlignment w:val="auto"/>
        <w:outlineLvl w:val="9"/>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adjustRightInd/>
        <w:snapToGrid w:val="0"/>
        <w:spacing w:line="560" w:lineRule="exact"/>
        <w:ind w:right="0" w:rightChars="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本条例自2017年5月1日起施行。</w:t>
      </w:r>
    </w:p>
    <w:sectPr>
      <w:footerReference r:id="rId3" w:type="default"/>
      <w:pgSz w:w="11906" w:h="16838"/>
      <w:pgMar w:top="2041" w:right="1531" w:bottom="2041" w:left="1531" w:header="850" w:footer="1644" w:gutter="0"/>
      <w:lnNumType w:countBy="0" w:distance="36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ascii="Calibri" w:hAnsi="Calibri" w:eastAsia="仿宋_GB2312" w:cs="黑体"/>
        <w:kern w:val="2"/>
        <w:sz w:val="18"/>
      </w:rPr>
      <w:pict>
        <v:rect id="文本框 1" o:spid="_x0000_s4097"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24008D0"/>
    <w:rsid w:val="03923435"/>
    <w:rsid w:val="09215332"/>
    <w:rsid w:val="0DB55A62"/>
    <w:rsid w:val="10980ED1"/>
    <w:rsid w:val="1AF03389"/>
    <w:rsid w:val="1F097DC2"/>
    <w:rsid w:val="204B6B56"/>
    <w:rsid w:val="2C775F5C"/>
    <w:rsid w:val="2E3A10EB"/>
    <w:rsid w:val="322C6794"/>
    <w:rsid w:val="4D1E4756"/>
    <w:rsid w:val="4D8904DD"/>
    <w:rsid w:val="4EFD1A49"/>
    <w:rsid w:val="5DDD6DB9"/>
    <w:rsid w:val="62321AEA"/>
    <w:rsid w:val="6F4C49BB"/>
    <w:rsid w:val="7D91194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仿宋_GB2312" w:cs="黑体"/>
      <w:kern w:val="2"/>
      <w:sz w:val="3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2017-01-19T17:01:20Z</dcterms:modified>
  <dc:title>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