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lang w:eastAsia="zh-CN"/>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广州市教育经费投入与管理条例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（2000年3月10日广州市第十一届人民代表大会常务委员会第十四次会议通过　2000年9月22日广东省第九届人民代表大会常务委员会第二十次会议批准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w:t>
      </w:r>
      <w:r>
        <w:rPr>
          <w:rFonts w:hint="eastAsia" w:ascii="楷体_GB2312" w:hAnsi="华文中宋" w:eastAsia="楷体_GB2312"/>
          <w:bCs/>
          <w:szCs w:val="32"/>
          <w:lang w:eastAsia="zh-CN"/>
        </w:rPr>
        <w:t>并经</w:t>
      </w:r>
      <w:r>
        <w:rPr>
          <w:rFonts w:hint="eastAsia" w:ascii="楷体_GB2312" w:hAnsi="华文中宋" w:eastAsia="楷体_GB2312"/>
          <w:bCs/>
          <w:szCs w:val="32"/>
        </w:rPr>
        <w:t>2011年1月17日广东省第十一届人民代表大会常务委员会第二十四次会议批准的《广州市人民代表大会常务委员会关于修改〈广州市社会治安综合治理条例〉等十七件地方性法规的决定》</w:t>
      </w:r>
      <w:r>
        <w:rPr>
          <w:rFonts w:hint="eastAsia" w:ascii="楷体_GB2312" w:hAnsi="华文中宋" w:eastAsia="楷体_GB2312"/>
          <w:bCs/>
          <w:szCs w:val="32"/>
          <w:lang w:eastAsia="zh-CN"/>
        </w:rPr>
        <w:t>第一次</w:t>
      </w:r>
      <w:r>
        <w:rPr>
          <w:rFonts w:hint="eastAsia" w:ascii="楷体_GB2312" w:hAnsi="华文中宋" w:eastAsia="楷体_GB2312"/>
          <w:bCs/>
          <w:szCs w:val="32"/>
        </w:rPr>
        <w:t>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w:t>
      </w:r>
      <w:r>
        <w:rPr>
          <w:rFonts w:hint="eastAsia" w:ascii="楷体_GB2312" w:hAnsi="华文中宋" w:eastAsia="楷体_GB2312"/>
          <w:bCs/>
          <w:szCs w:val="32"/>
          <w:lang w:eastAsia="zh-CN"/>
        </w:rPr>
        <w:t>并经</w:t>
      </w:r>
      <w:r>
        <w:rPr>
          <w:rFonts w:hint="eastAsia" w:ascii="楷体_GB2312" w:hAnsi="华文中宋" w:eastAsia="楷体_GB2312"/>
          <w:bCs/>
          <w:szCs w:val="32"/>
        </w:rPr>
        <w:t>2015年12月3日广东省第十二届人民代表大会常务委员会第二十一次会议批准的《广州市人民代表大会常务委员会关于修改〈广州市城市轨道交通管理条例〉等四件地方性法规的决定》</w:t>
      </w:r>
      <w:r>
        <w:rPr>
          <w:rFonts w:hint="eastAsia" w:ascii="楷体_GB2312" w:hAnsi="华文中宋" w:eastAsia="楷体_GB2312"/>
          <w:bCs/>
          <w:szCs w:val="32"/>
          <w:lang w:eastAsia="zh-CN"/>
        </w:rPr>
        <w:t>第二次</w:t>
      </w:r>
      <w:r>
        <w:rPr>
          <w:rFonts w:hint="eastAsia" w:ascii="楷体_GB2312" w:hAnsi="华文中宋" w:eastAsia="楷体_GB2312"/>
          <w:bCs/>
          <w:szCs w:val="32"/>
        </w:rPr>
        <w:t>修正</w:t>
      </w:r>
      <w:r>
        <w:rPr>
          <w:rFonts w:hint="eastAsia" w:ascii="楷体_GB2312" w:hAnsi="华文中宋" w:eastAsia="楷体_GB2312"/>
          <w:bCs/>
          <w:szCs w:val="32"/>
          <w:lang w:eastAsia="zh-CN"/>
        </w:rPr>
        <w:t>）</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教育经费投入</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教育经费管理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附则</w:t>
      </w:r>
    </w:p>
    <w:p>
      <w:pPr>
        <w:pStyle w:val="2"/>
        <w:adjustRightInd w:val="0"/>
        <w:snapToGrid w:val="0"/>
        <w:spacing w:after="0" w:line="580" w:lineRule="exact"/>
        <w:ind w:left="0" w:leftChars="0" w:firstLine="632" w:firstLineChars="200"/>
        <w:rPr>
          <w:rFonts w:hint="eastAsia" w:ascii="宋体" w:hAnsi="宋体" w:eastAsia="宋体" w:cs="宋体"/>
          <w:bCs/>
          <w:szCs w:val="32"/>
        </w:rPr>
      </w:pPr>
    </w:p>
    <w:p>
      <w:pPr>
        <w:pStyle w:val="2"/>
        <w:numPr>
          <w:ilvl w:val="0"/>
          <w:numId w:val="1"/>
        </w:numPr>
        <w:adjustRightInd w:val="0"/>
        <w:snapToGrid w:val="0"/>
        <w:spacing w:after="0" w:line="580" w:lineRule="exact"/>
        <w:ind w:left="0" w:leftChars="0" w:firstLine="632" w:firstLineChars="200"/>
        <w:jc w:val="center"/>
        <w:rPr>
          <w:rFonts w:hint="eastAsia" w:ascii="黑体" w:hAnsi="宋体" w:eastAsia="黑体" w:cs="宋体"/>
          <w:b w:val="0"/>
          <w:bCs w:val="0"/>
          <w:szCs w:val="32"/>
        </w:rPr>
      </w:pPr>
      <w:r>
        <w:rPr>
          <w:rFonts w:hint="eastAsia" w:ascii="黑体" w:hAnsi="宋体" w:eastAsia="黑体" w:cs="宋体"/>
          <w:b w:val="0"/>
          <w:bCs w:val="0"/>
          <w:szCs w:val="32"/>
          <w:lang w:val="en-US" w:eastAsia="zh-CN"/>
        </w:rPr>
        <w:t xml:space="preserve"> </w:t>
      </w:r>
      <w:r>
        <w:rPr>
          <w:rFonts w:hint="eastAsia" w:ascii="黑体" w:hAnsi="宋体" w:eastAsia="黑体" w:cs="宋体"/>
          <w:b w:val="0"/>
          <w:bCs w:val="0"/>
          <w:szCs w:val="32"/>
        </w:rPr>
        <w:t>总则</w:t>
      </w:r>
    </w:p>
    <w:p>
      <w:pPr>
        <w:pStyle w:val="2"/>
        <w:numPr>
          <w:ilvl w:val="0"/>
          <w:numId w:val="0"/>
        </w:numPr>
        <w:adjustRightInd w:val="0"/>
        <w:snapToGrid w:val="0"/>
        <w:spacing w:after="0" w:line="580" w:lineRule="exact"/>
        <w:ind w:leftChars="200"/>
        <w:rPr>
          <w:rFonts w:hint="eastAsia" w:ascii="宋体" w:hAnsi="宋体" w:eastAsia="宋体" w:cs="宋体"/>
          <w:b w:val="0"/>
          <w:bCs w:val="0"/>
          <w:szCs w:val="32"/>
        </w:rPr>
      </w:pP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第一条</w:t>
      </w:r>
      <w:r>
        <w:rPr>
          <w:rFonts w:hint="eastAsia" w:ascii="仿宋_GB2312" w:hAnsi="宋体" w:cs="宋体"/>
          <w:b w:val="0"/>
          <w:bCs w:val="0"/>
          <w:szCs w:val="32"/>
        </w:rPr>
        <w:t>　为保障教育经费投入，加强教育经费管理，根据《中华人民共和国教育法》，结合本市实际，制定本条例。</w:t>
      </w: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第二条</w:t>
      </w:r>
      <w:r>
        <w:rPr>
          <w:rFonts w:hint="eastAsia" w:ascii="仿宋_GB2312" w:hAnsi="宋体" w:cs="宋体"/>
          <w:b w:val="0"/>
          <w:bCs w:val="0"/>
          <w:szCs w:val="32"/>
        </w:rPr>
        <w:t>　在本行政区域内本市所属的各级各类学校和其他教育机构教育经费的投入与管理，适用本条例。</w:t>
      </w:r>
    </w:p>
    <w:p>
      <w:pPr>
        <w:pStyle w:val="3"/>
        <w:widowControl w:val="0"/>
        <w:wordWrap/>
        <w:adjustRightInd/>
        <w:snapToGrid/>
        <w:spacing w:line="560" w:lineRule="exact"/>
        <w:ind w:left="0" w:leftChars="0" w:right="0" w:firstLine="640" w:firstLineChars="200"/>
        <w:textAlignment w:val="auto"/>
        <w:rPr>
          <w:rFonts w:hint="eastAsia" w:ascii="仿宋_GB2312" w:hAnsi="宋体" w:cs="宋体"/>
          <w:b w:val="0"/>
          <w:bCs w:val="0"/>
          <w:szCs w:val="32"/>
        </w:rPr>
      </w:pPr>
      <w:r>
        <w:rPr>
          <w:rFonts w:hint="eastAsia" w:ascii="仿宋_GB2312" w:hAnsi="宋体" w:cs="宋体"/>
          <w:b w:val="0"/>
          <w:bCs w:val="0"/>
          <w:szCs w:val="32"/>
        </w:rPr>
        <w:t>前款所称各级各类学校和其他教育机构分别是指实施学前教育、普通初等教育、普通中等教育、职业教育、普通高等教育以及特殊教育、成人教育的学校；少年宫以及地方教研室、电化教育机构等。</w:t>
      </w: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第三条</w:t>
      </w:r>
      <w:r>
        <w:rPr>
          <w:rFonts w:hint="eastAsia" w:ascii="仿宋_GB2312" w:hAnsi="宋体" w:cs="宋体"/>
          <w:b w:val="0"/>
          <w:bCs w:val="0"/>
          <w:szCs w:val="32"/>
        </w:rPr>
        <w:t>　本市优先发展教育，保障教育经费投入，完善多渠道筹措教育经费的体制，使教育事业的发展适度超前于本市经济、社会的发展。</w:t>
      </w:r>
    </w:p>
    <w:p>
      <w:pPr>
        <w:pStyle w:val="3"/>
        <w:widowControl w:val="0"/>
        <w:wordWrap/>
        <w:adjustRightInd/>
        <w:snapToGrid/>
        <w:spacing w:line="560" w:lineRule="exact"/>
        <w:ind w:left="0" w:leftChars="0" w:right="0" w:firstLine="643" w:firstLineChars="200"/>
        <w:textAlignment w:val="auto"/>
        <w:rPr>
          <w:rFonts w:hint="eastAsia" w:ascii="仿宋_GB2312"/>
          <w:b w:val="0"/>
          <w:bCs w:val="0"/>
          <w:szCs w:val="32"/>
        </w:rPr>
      </w:pPr>
      <w:r>
        <w:rPr>
          <w:rFonts w:hint="eastAsia" w:ascii="黑体" w:hAnsi="黑体" w:eastAsia="黑体" w:cs="黑体"/>
          <w:b w:val="0"/>
          <w:bCs w:val="0"/>
          <w:szCs w:val="32"/>
        </w:rPr>
        <w:t>第四条</w:t>
      </w:r>
      <w:r>
        <w:rPr>
          <w:rFonts w:hint="eastAsia" w:ascii="仿宋_GB2312" w:hAnsi="宋体" w:cs="宋体"/>
          <w:b w:val="0"/>
          <w:bCs w:val="0"/>
          <w:szCs w:val="32"/>
        </w:rPr>
        <w:t>　</w:t>
      </w:r>
      <w:r>
        <w:rPr>
          <w:rFonts w:hint="eastAsia" w:ascii="仿宋_GB2312" w:hAnsi="仿宋_GB2312" w:cs="仿宋_GB2312"/>
          <w:b w:val="0"/>
          <w:bCs w:val="0"/>
          <w:szCs w:val="32"/>
        </w:rPr>
        <w:t>市、区</w:t>
      </w:r>
      <w:r>
        <w:rPr>
          <w:rFonts w:hint="eastAsia" w:ascii="仿宋_GB2312" w:hAnsi="仿宋_GB2312" w:cs="仿宋_GB2312"/>
          <w:b w:val="0"/>
          <w:bCs w:val="0"/>
          <w:szCs w:val="32"/>
          <w:lang w:val="en-US" w:eastAsia="zh-CN"/>
        </w:rPr>
        <w:t>县级</w:t>
      </w:r>
      <w:r>
        <w:rPr>
          <w:rFonts w:hint="eastAsia" w:ascii="仿宋_GB2312" w:hAnsi="仿宋_GB2312" w:cs="仿宋_GB2312"/>
          <w:b w:val="0"/>
          <w:bCs w:val="0"/>
          <w:szCs w:val="32"/>
        </w:rPr>
        <w:t>人民政府每年应当将教育经费在财政预算中单独列项或者列表，经同级人民代表大会审查和批准后执行，并向同级人民代表大会报告执行情况，接受监督。</w:t>
      </w:r>
    </w:p>
    <w:p>
      <w:pPr>
        <w:widowControl w:val="0"/>
        <w:wordWrap/>
        <w:adjustRightInd/>
        <w:snapToGrid/>
        <w:spacing w:line="560" w:lineRule="exact"/>
        <w:ind w:left="0" w:leftChars="0" w:right="0" w:firstLine="643" w:firstLineChars="200"/>
        <w:textAlignment w:val="auto"/>
        <w:rPr>
          <w:rFonts w:hint="eastAsia" w:ascii="仿宋_GB2312" w:hAnsi="宋体" w:eastAsia="仿宋_GB2312" w:cs="宋体"/>
          <w:b w:val="0"/>
          <w:bCs w:val="0"/>
          <w:sz w:val="32"/>
          <w:szCs w:val="32"/>
        </w:rPr>
      </w:pPr>
      <w:r>
        <w:rPr>
          <w:rFonts w:hint="eastAsia" w:ascii="黑体" w:hAnsi="黑体" w:eastAsia="黑体" w:cs="黑体"/>
          <w:b w:val="0"/>
          <w:bCs w:val="0"/>
          <w:sz w:val="32"/>
          <w:szCs w:val="32"/>
        </w:rPr>
        <w:t>第五条</w:t>
      </w:r>
      <w:r>
        <w:rPr>
          <w:rFonts w:hint="eastAsia" w:ascii="仿宋_GB2312" w:hAnsi="宋体" w:eastAsia="仿宋_GB2312" w:cs="宋体"/>
          <w:b w:val="0"/>
          <w:bCs w:val="0"/>
          <w:sz w:val="32"/>
          <w:szCs w:val="32"/>
        </w:rPr>
        <w:t>　各级人民政府及其有关部门应当加强对教育经费的投入和使用情况的检查、监督。</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审计部门</w:t>
      </w:r>
      <w:r>
        <w:rPr>
          <w:rFonts w:hint="eastAsia" w:cs="仿宋_GB2312"/>
          <w:b w:val="0"/>
          <w:bCs w:val="0"/>
          <w:sz w:val="32"/>
          <w:szCs w:val="32"/>
          <w:lang w:val="en-US" w:eastAsia="zh-CN"/>
        </w:rPr>
        <w:t>应当依法对教育经费的使用</w:t>
      </w:r>
      <w:r>
        <w:rPr>
          <w:rFonts w:hint="eastAsia" w:ascii="仿宋_GB2312" w:hAnsi="仿宋_GB2312" w:eastAsia="仿宋_GB2312" w:cs="仿宋_GB2312"/>
          <w:b w:val="0"/>
          <w:bCs w:val="0"/>
          <w:sz w:val="32"/>
          <w:szCs w:val="32"/>
        </w:rPr>
        <w:t>进行审计</w:t>
      </w:r>
      <w:r>
        <w:rPr>
          <w:rFonts w:hint="eastAsia" w:cs="仿宋_GB2312"/>
          <w:b w:val="0"/>
          <w:bCs w:val="0"/>
          <w:sz w:val="32"/>
          <w:szCs w:val="32"/>
          <w:lang w:val="en-US" w:eastAsia="zh-CN"/>
        </w:rPr>
        <w:t>。</w:t>
      </w:r>
    </w:p>
    <w:p>
      <w:pPr>
        <w:pStyle w:val="3"/>
        <w:widowControl w:val="0"/>
        <w:wordWrap/>
        <w:adjustRightInd/>
        <w:snapToGrid/>
        <w:spacing w:line="560" w:lineRule="exact"/>
        <w:ind w:left="0" w:leftChars="0" w:right="0" w:firstLine="640" w:firstLineChars="200"/>
        <w:textAlignment w:val="auto"/>
        <w:rPr>
          <w:rFonts w:hint="eastAsia" w:ascii="仿宋_GB2312" w:hAnsi="仿宋_GB2312" w:cs="仿宋_GB2312"/>
          <w:b w:val="0"/>
          <w:bCs w:val="0"/>
          <w:szCs w:val="32"/>
        </w:rPr>
      </w:pPr>
      <w:r>
        <w:rPr>
          <w:rFonts w:hint="eastAsia" w:ascii="仿宋_GB2312" w:hAnsi="仿宋_GB2312" w:cs="仿宋_GB2312"/>
          <w:b w:val="0"/>
          <w:bCs w:val="0"/>
          <w:szCs w:val="32"/>
        </w:rPr>
        <w:t>教育和统计部门应当每年定期公布</w:t>
      </w:r>
      <w:r>
        <w:rPr>
          <w:rFonts w:hint="eastAsia" w:ascii="仿宋_GB2312" w:hAnsi="仿宋_GB2312" w:cs="仿宋_GB2312"/>
          <w:b w:val="0"/>
          <w:bCs w:val="0"/>
          <w:szCs w:val="32"/>
          <w:lang w:val="en-US" w:eastAsia="zh-CN"/>
        </w:rPr>
        <w:t>市</w:t>
      </w:r>
      <w:r>
        <w:rPr>
          <w:rFonts w:hint="eastAsia" w:ascii="仿宋_GB2312" w:hAnsi="仿宋_GB2312" w:cs="仿宋_GB2312"/>
          <w:b w:val="0"/>
          <w:bCs w:val="0"/>
          <w:szCs w:val="32"/>
        </w:rPr>
        <w:t>本级教育经费投入和使用情况，接受社会公众的监督。</w:t>
      </w:r>
    </w:p>
    <w:p>
      <w:pPr>
        <w:widowControl w:val="0"/>
        <w:wordWrap/>
        <w:adjustRightInd/>
        <w:snapToGrid/>
        <w:spacing w:line="560" w:lineRule="exact"/>
        <w:ind w:left="0" w:leftChars="0" w:right="0" w:firstLine="643" w:firstLineChars="200"/>
        <w:textAlignment w:val="auto"/>
        <w:rPr>
          <w:rFonts w:hint="eastAsia" w:ascii="仿宋_GB2312" w:hAnsi="宋体" w:eastAsia="仿宋_GB2312" w:cs="宋体"/>
          <w:b w:val="0"/>
          <w:bCs w:val="0"/>
          <w:sz w:val="32"/>
          <w:szCs w:val="32"/>
        </w:rPr>
      </w:pPr>
      <w:r>
        <w:rPr>
          <w:rFonts w:hint="eastAsia" w:ascii="黑体" w:hAnsi="黑体" w:eastAsia="黑体" w:cs="黑体"/>
          <w:b w:val="0"/>
          <w:bCs w:val="0"/>
          <w:sz w:val="32"/>
          <w:szCs w:val="32"/>
        </w:rPr>
        <w:t>第六条</w:t>
      </w:r>
      <w:r>
        <w:rPr>
          <w:rFonts w:hint="eastAsia" w:ascii="仿宋_GB2312" w:hAnsi="宋体" w:eastAsia="仿宋_GB2312" w:cs="宋体"/>
          <w:b w:val="0"/>
          <w:bCs w:val="0"/>
          <w:sz w:val="32"/>
          <w:szCs w:val="32"/>
        </w:rPr>
        <w:t>　市教育行政部门负责组织本条例的实施。</w:t>
      </w:r>
    </w:p>
    <w:p>
      <w:pPr>
        <w:pStyle w:val="3"/>
        <w:widowControl w:val="0"/>
        <w:wordWrap/>
        <w:adjustRightInd/>
        <w:snapToGrid/>
        <w:spacing w:line="560" w:lineRule="exact"/>
        <w:ind w:left="0" w:leftChars="0" w:right="0" w:firstLine="640" w:firstLineChars="200"/>
        <w:textAlignment w:val="auto"/>
        <w:rPr>
          <w:rFonts w:hint="eastAsia" w:ascii="仿宋_GB2312" w:hAnsi="仿宋_GB2312" w:cs="仿宋_GB2312"/>
          <w:b w:val="0"/>
          <w:bCs w:val="0"/>
          <w:szCs w:val="32"/>
        </w:rPr>
      </w:pPr>
      <w:r>
        <w:rPr>
          <w:rFonts w:hint="eastAsia" w:ascii="仿宋_GB2312" w:hAnsi="仿宋_GB2312" w:cs="仿宋_GB2312"/>
          <w:b w:val="0"/>
          <w:bCs w:val="0"/>
          <w:szCs w:val="32"/>
        </w:rPr>
        <w:t>发展改革、财政、税收、</w:t>
      </w:r>
      <w:r>
        <w:rPr>
          <w:rFonts w:hint="eastAsia" w:ascii="仿宋_GB2312" w:hAnsi="仿宋_GB2312" w:cs="仿宋_GB2312"/>
          <w:b w:val="0"/>
          <w:bCs w:val="0"/>
          <w:szCs w:val="32"/>
          <w:lang w:val="en-US" w:eastAsia="zh-CN"/>
        </w:rPr>
        <w:t>价格、劳动、</w:t>
      </w:r>
      <w:r>
        <w:rPr>
          <w:rFonts w:hint="eastAsia" w:ascii="仿宋_GB2312" w:hAnsi="仿宋_GB2312" w:cs="仿宋_GB2312"/>
          <w:b w:val="0"/>
          <w:bCs w:val="0"/>
          <w:szCs w:val="32"/>
        </w:rPr>
        <w:t>审计、统计等有关部门</w:t>
      </w:r>
      <w:r>
        <w:rPr>
          <w:rFonts w:hint="eastAsia" w:ascii="仿宋_GB2312" w:hAnsi="仿宋_GB2312" w:cs="仿宋_GB2312"/>
          <w:b w:val="0"/>
          <w:bCs w:val="0"/>
          <w:szCs w:val="32"/>
          <w:lang w:eastAsia="zh-CN"/>
        </w:rPr>
        <w:t>，</w:t>
      </w:r>
      <w:r>
        <w:rPr>
          <w:rFonts w:hint="eastAsia" w:ascii="仿宋_GB2312" w:hAnsi="仿宋_GB2312" w:cs="仿宋_GB2312"/>
          <w:b w:val="0"/>
          <w:bCs w:val="0"/>
          <w:szCs w:val="32"/>
        </w:rPr>
        <w:t>按照各自职责</w:t>
      </w:r>
      <w:r>
        <w:rPr>
          <w:rFonts w:hint="eastAsia" w:ascii="仿宋_GB2312" w:hAnsi="仿宋_GB2312" w:cs="仿宋_GB2312"/>
          <w:b w:val="0"/>
          <w:bCs w:val="0"/>
          <w:szCs w:val="32"/>
          <w:lang w:eastAsia="zh-CN"/>
        </w:rPr>
        <w:t>，</w:t>
      </w:r>
      <w:r>
        <w:rPr>
          <w:rFonts w:hint="eastAsia" w:ascii="仿宋_GB2312" w:hAnsi="仿宋_GB2312" w:cs="仿宋_GB2312"/>
          <w:b w:val="0"/>
          <w:bCs w:val="0"/>
          <w:szCs w:val="32"/>
          <w:lang w:val="en-US" w:eastAsia="zh-CN"/>
        </w:rPr>
        <w:t>做好</w:t>
      </w:r>
      <w:r>
        <w:rPr>
          <w:rFonts w:hint="eastAsia" w:ascii="仿宋_GB2312" w:hAnsi="仿宋_GB2312" w:cs="仿宋_GB2312"/>
          <w:b w:val="0"/>
          <w:bCs w:val="0"/>
          <w:szCs w:val="32"/>
        </w:rPr>
        <w:t>本条例</w:t>
      </w:r>
      <w:r>
        <w:rPr>
          <w:rFonts w:hint="eastAsia" w:ascii="仿宋_GB2312" w:hAnsi="仿宋_GB2312" w:cs="仿宋_GB2312"/>
          <w:b w:val="0"/>
          <w:bCs w:val="0"/>
          <w:szCs w:val="32"/>
          <w:lang w:val="en-US" w:eastAsia="zh-CN"/>
        </w:rPr>
        <w:t>的实施工作</w:t>
      </w:r>
      <w:r>
        <w:rPr>
          <w:rFonts w:hint="eastAsia" w:ascii="仿宋_GB2312" w:hAnsi="仿宋_GB2312" w:cs="仿宋_GB2312"/>
          <w:b w:val="0"/>
          <w:bCs w:val="0"/>
          <w:szCs w:val="32"/>
        </w:rPr>
        <w:t>。</w:t>
      </w:r>
    </w:p>
    <w:p>
      <w:pPr>
        <w:pStyle w:val="3"/>
        <w:widowControl w:val="0"/>
        <w:wordWrap/>
        <w:adjustRightInd/>
        <w:snapToGrid/>
        <w:spacing w:line="560" w:lineRule="exact"/>
        <w:ind w:left="0" w:leftChars="0" w:right="0" w:firstLine="640" w:firstLineChars="200"/>
        <w:textAlignment w:val="auto"/>
        <w:rPr>
          <w:rFonts w:hint="eastAsia" w:ascii="宋体" w:hAnsi="宋体" w:eastAsia="宋体" w:cs="宋体"/>
          <w:b w:val="0"/>
          <w:bCs w:val="0"/>
          <w:szCs w:val="32"/>
        </w:rPr>
      </w:pPr>
    </w:p>
    <w:p>
      <w:pPr>
        <w:pStyle w:val="3"/>
        <w:widowControl w:val="0"/>
        <w:numPr>
          <w:ilvl w:val="0"/>
          <w:numId w:val="1"/>
        </w:numPr>
        <w:wordWrap/>
        <w:adjustRightInd/>
        <w:snapToGrid/>
        <w:spacing w:line="560" w:lineRule="exact"/>
        <w:ind w:left="0" w:leftChars="0" w:right="0" w:firstLine="640" w:firstLineChars="200"/>
        <w:jc w:val="center"/>
        <w:textAlignment w:val="auto"/>
        <w:rPr>
          <w:rFonts w:hint="eastAsia" w:ascii="黑体" w:hAnsi="宋体" w:eastAsia="黑体" w:cs="宋体"/>
          <w:b w:val="0"/>
          <w:bCs w:val="0"/>
          <w:szCs w:val="32"/>
        </w:rPr>
      </w:pPr>
      <w:r>
        <w:rPr>
          <w:rFonts w:hint="eastAsia" w:ascii="黑体" w:hAnsi="宋体" w:eastAsia="黑体" w:cs="宋体"/>
          <w:b w:val="0"/>
          <w:bCs w:val="0"/>
          <w:szCs w:val="32"/>
          <w:lang w:val="en-US" w:eastAsia="zh-CN"/>
        </w:rPr>
        <w:t xml:space="preserve"> </w:t>
      </w:r>
      <w:bookmarkStart w:id="0" w:name="_GoBack"/>
      <w:bookmarkEnd w:id="0"/>
      <w:r>
        <w:rPr>
          <w:rFonts w:hint="eastAsia" w:ascii="黑体" w:hAnsi="宋体" w:eastAsia="黑体" w:cs="宋体"/>
          <w:b w:val="0"/>
          <w:bCs w:val="0"/>
          <w:szCs w:val="32"/>
        </w:rPr>
        <w:t>教育经费投入</w:t>
      </w:r>
    </w:p>
    <w:p>
      <w:pPr>
        <w:pStyle w:val="3"/>
        <w:widowControl w:val="0"/>
        <w:numPr>
          <w:ilvl w:val="0"/>
          <w:numId w:val="0"/>
        </w:numPr>
        <w:wordWrap/>
        <w:adjustRightInd/>
        <w:snapToGrid/>
        <w:spacing w:line="560" w:lineRule="exact"/>
        <w:ind w:leftChars="200" w:right="0"/>
        <w:textAlignment w:val="auto"/>
        <w:rPr>
          <w:rFonts w:hint="eastAsia" w:ascii="宋体" w:hAnsi="宋体" w:eastAsia="宋体" w:cs="宋体"/>
          <w:b w:val="0"/>
          <w:bCs w:val="0"/>
          <w:szCs w:val="32"/>
        </w:rPr>
      </w:pP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第七条</w:t>
      </w:r>
      <w:r>
        <w:rPr>
          <w:rFonts w:hint="eastAsia" w:ascii="仿宋_GB2312" w:hAnsi="宋体" w:cs="宋体"/>
          <w:b w:val="0"/>
          <w:bCs w:val="0"/>
          <w:szCs w:val="32"/>
        </w:rPr>
        <w:t>　教育经费投入来源包括：</w:t>
      </w:r>
    </w:p>
    <w:p>
      <w:pPr>
        <w:pStyle w:val="3"/>
        <w:widowControl w:val="0"/>
        <w:wordWrap/>
        <w:adjustRightInd/>
        <w:snapToGrid/>
        <w:spacing w:line="560" w:lineRule="exact"/>
        <w:ind w:left="0" w:leftChars="0" w:right="0" w:firstLine="640" w:firstLineChars="200"/>
        <w:textAlignment w:val="auto"/>
        <w:rPr>
          <w:rFonts w:hint="eastAsia" w:ascii="仿宋_GB2312" w:hAnsi="宋体" w:cs="宋体"/>
          <w:b w:val="0"/>
          <w:bCs w:val="0"/>
          <w:szCs w:val="32"/>
        </w:rPr>
      </w:pPr>
      <w:r>
        <w:rPr>
          <w:rFonts w:hint="eastAsia" w:ascii="仿宋_GB2312" w:hAnsi="宋体" w:cs="宋体"/>
          <w:b w:val="0"/>
          <w:bCs w:val="0"/>
          <w:szCs w:val="32"/>
        </w:rPr>
        <w:t>（一）财政专项用于教育的拨款；</w:t>
      </w:r>
    </w:p>
    <w:p>
      <w:pPr>
        <w:pStyle w:val="3"/>
        <w:widowControl w:val="0"/>
        <w:wordWrap/>
        <w:adjustRightInd/>
        <w:snapToGrid/>
        <w:spacing w:line="560" w:lineRule="exact"/>
        <w:ind w:left="0" w:leftChars="0" w:right="0" w:firstLine="640" w:firstLineChars="200"/>
        <w:textAlignment w:val="auto"/>
        <w:rPr>
          <w:rFonts w:hint="eastAsia" w:ascii="仿宋_GB2312" w:hAnsi="宋体" w:cs="宋体"/>
          <w:b w:val="0"/>
          <w:bCs w:val="0"/>
          <w:szCs w:val="32"/>
        </w:rPr>
      </w:pPr>
      <w:r>
        <w:rPr>
          <w:rFonts w:hint="eastAsia" w:ascii="仿宋_GB2312" w:hAnsi="宋体" w:cs="宋体"/>
          <w:b w:val="0"/>
          <w:bCs w:val="0"/>
          <w:szCs w:val="32"/>
        </w:rPr>
        <w:t>（二）专项用于教育的税费；</w:t>
      </w:r>
    </w:p>
    <w:p>
      <w:pPr>
        <w:pStyle w:val="3"/>
        <w:widowControl w:val="0"/>
        <w:wordWrap/>
        <w:adjustRightInd/>
        <w:snapToGrid/>
        <w:spacing w:line="560" w:lineRule="exact"/>
        <w:ind w:left="0" w:leftChars="0" w:right="0" w:firstLine="640" w:firstLineChars="200"/>
        <w:textAlignment w:val="auto"/>
        <w:rPr>
          <w:rFonts w:hint="eastAsia" w:ascii="仿宋_GB2312" w:hAnsi="宋体" w:cs="宋体"/>
          <w:b w:val="0"/>
          <w:bCs w:val="0"/>
          <w:szCs w:val="32"/>
        </w:rPr>
      </w:pPr>
      <w:r>
        <w:rPr>
          <w:rFonts w:hint="eastAsia" w:ascii="仿宋_GB2312" w:hAnsi="宋体" w:cs="宋体"/>
          <w:b w:val="0"/>
          <w:bCs w:val="0"/>
          <w:szCs w:val="32"/>
        </w:rPr>
        <w:t>（三）企业事业单位、社会团体、其他社会组织和公民个人的办学经费；</w:t>
      </w:r>
    </w:p>
    <w:p>
      <w:pPr>
        <w:pStyle w:val="3"/>
        <w:widowControl w:val="0"/>
        <w:wordWrap/>
        <w:adjustRightInd/>
        <w:snapToGrid/>
        <w:spacing w:line="560" w:lineRule="exact"/>
        <w:ind w:left="0" w:leftChars="0" w:right="0" w:firstLine="640" w:firstLineChars="200"/>
        <w:textAlignment w:val="auto"/>
        <w:rPr>
          <w:rFonts w:hint="eastAsia" w:ascii="仿宋_GB2312" w:hAnsi="宋体" w:cs="宋体"/>
          <w:b w:val="0"/>
          <w:bCs w:val="0"/>
          <w:szCs w:val="32"/>
        </w:rPr>
      </w:pPr>
      <w:r>
        <w:rPr>
          <w:rFonts w:hint="eastAsia" w:ascii="仿宋_GB2312" w:hAnsi="宋体" w:cs="宋体"/>
          <w:b w:val="0"/>
          <w:bCs w:val="0"/>
          <w:szCs w:val="32"/>
        </w:rPr>
        <w:t>（四）勤工俭学、社会服务和校办产业收入用于教育的经费；</w:t>
      </w:r>
    </w:p>
    <w:p>
      <w:pPr>
        <w:pStyle w:val="3"/>
        <w:widowControl w:val="0"/>
        <w:wordWrap/>
        <w:adjustRightInd/>
        <w:snapToGrid/>
        <w:spacing w:line="560" w:lineRule="exact"/>
        <w:ind w:left="0" w:leftChars="0" w:right="0" w:firstLine="640" w:firstLineChars="200"/>
        <w:textAlignment w:val="auto"/>
        <w:rPr>
          <w:rFonts w:hint="eastAsia" w:ascii="仿宋_GB2312" w:hAnsi="宋体" w:cs="宋体"/>
          <w:b w:val="0"/>
          <w:bCs w:val="0"/>
          <w:szCs w:val="32"/>
        </w:rPr>
      </w:pPr>
      <w:r>
        <w:rPr>
          <w:rFonts w:hint="eastAsia" w:ascii="仿宋_GB2312" w:hAnsi="宋体" w:cs="宋体"/>
          <w:b w:val="0"/>
          <w:bCs w:val="0"/>
          <w:szCs w:val="32"/>
        </w:rPr>
        <w:t>（五）社会捐资助学、集资办学经费；</w:t>
      </w:r>
    </w:p>
    <w:p>
      <w:pPr>
        <w:pStyle w:val="3"/>
        <w:widowControl w:val="0"/>
        <w:wordWrap/>
        <w:adjustRightInd/>
        <w:snapToGrid/>
        <w:spacing w:line="560" w:lineRule="exact"/>
        <w:ind w:left="0" w:leftChars="0" w:right="0" w:firstLine="640" w:firstLineChars="200"/>
        <w:textAlignment w:val="auto"/>
        <w:rPr>
          <w:rFonts w:hint="eastAsia" w:ascii="仿宋_GB2312" w:hAnsi="宋体" w:cs="宋体"/>
          <w:b w:val="0"/>
          <w:bCs w:val="0"/>
          <w:szCs w:val="32"/>
        </w:rPr>
      </w:pPr>
      <w:r>
        <w:rPr>
          <w:rFonts w:hint="eastAsia" w:ascii="仿宋_GB2312" w:hAnsi="宋体" w:cs="宋体"/>
          <w:b w:val="0"/>
          <w:bCs w:val="0"/>
          <w:szCs w:val="32"/>
        </w:rPr>
        <w:t>（六）学校事业收入；</w:t>
      </w:r>
    </w:p>
    <w:p>
      <w:pPr>
        <w:pStyle w:val="3"/>
        <w:widowControl w:val="0"/>
        <w:wordWrap/>
        <w:adjustRightInd/>
        <w:snapToGrid/>
        <w:spacing w:line="560" w:lineRule="exact"/>
        <w:ind w:left="0" w:leftChars="0" w:right="0" w:firstLine="640" w:firstLineChars="200"/>
        <w:textAlignment w:val="auto"/>
        <w:rPr>
          <w:rFonts w:hint="eastAsia" w:ascii="仿宋_GB2312" w:hAnsi="宋体" w:cs="宋体"/>
          <w:b w:val="0"/>
          <w:bCs w:val="0"/>
          <w:szCs w:val="32"/>
        </w:rPr>
      </w:pPr>
      <w:r>
        <w:rPr>
          <w:rFonts w:hint="eastAsia" w:ascii="仿宋_GB2312" w:hAnsi="宋体" w:cs="宋体"/>
          <w:b w:val="0"/>
          <w:bCs w:val="0"/>
          <w:szCs w:val="32"/>
        </w:rPr>
        <w:t>（七）其他教育经费。</w:t>
      </w:r>
    </w:p>
    <w:p>
      <w:pPr>
        <w:widowControl w:val="0"/>
        <w:wordWrap/>
        <w:adjustRightInd/>
        <w:snapToGrid/>
        <w:spacing w:line="560" w:lineRule="exact"/>
        <w:ind w:left="0" w:leftChars="0" w:right="0" w:firstLine="643"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第八条</w:t>
      </w:r>
      <w:r>
        <w:rPr>
          <w:rFonts w:hint="eastAsia" w:ascii="仿宋_GB2312" w:hAnsi="宋体" w:eastAsia="仿宋_GB2312" w:cs="宋体"/>
          <w:b w:val="0"/>
          <w:bCs w:val="0"/>
          <w:sz w:val="32"/>
          <w:szCs w:val="32"/>
        </w:rPr>
        <w:t>　</w:t>
      </w:r>
      <w:r>
        <w:rPr>
          <w:rFonts w:hint="eastAsia" w:ascii="仿宋_GB2312" w:hAnsi="仿宋_GB2312" w:eastAsia="仿宋_GB2312" w:cs="仿宋_GB2312"/>
          <w:b w:val="0"/>
          <w:bCs w:val="0"/>
          <w:sz w:val="32"/>
          <w:szCs w:val="32"/>
        </w:rPr>
        <w:t>市、区人民政府应当根据教育发展的实际需要，在年度预算安排中对教育经费予以重点保障。</w:t>
      </w:r>
    </w:p>
    <w:p>
      <w:pPr>
        <w:widowControl w:val="0"/>
        <w:wordWrap/>
        <w:adjustRightInd/>
        <w:snapToGrid/>
        <w:spacing w:line="560" w:lineRule="exact"/>
        <w:ind w:left="0" w:leftChars="0" w:right="0" w:firstLine="643" w:firstLineChars="200"/>
        <w:textAlignment w:val="auto"/>
        <w:rPr>
          <w:rFonts w:hint="eastAsia" w:cs="仿宋_GB2312"/>
          <w:b w:val="0"/>
          <w:bCs w:val="0"/>
          <w:sz w:val="32"/>
          <w:szCs w:val="32"/>
          <w:lang w:val="en-US" w:eastAsia="zh-CN"/>
        </w:rPr>
      </w:pPr>
      <w:r>
        <w:rPr>
          <w:rFonts w:hint="eastAsia" w:ascii="仿宋_GB2312" w:hAnsi="仿宋_GB2312" w:eastAsia="仿宋_GB2312" w:cs="仿宋_GB2312"/>
          <w:b w:val="0"/>
          <w:bCs w:val="0"/>
          <w:sz w:val="32"/>
          <w:szCs w:val="32"/>
        </w:rPr>
        <w:t>前款所称教育经费是指财政用于教育的基建经费、教育事业费、追加区教育经费、离退休教职工人员经费、公费医疗用于教职工的经费及其他财政用于教育的支出、教育费附加和地方教育附加。</w:t>
      </w:r>
    </w:p>
    <w:p>
      <w:pPr>
        <w:widowControl w:val="0"/>
        <w:wordWrap/>
        <w:adjustRightInd/>
        <w:snapToGrid/>
        <w:spacing w:line="560" w:lineRule="exact"/>
        <w:ind w:left="0" w:leftChars="0" w:right="0" w:firstLine="643" w:firstLineChars="200"/>
        <w:textAlignment w:val="auto"/>
        <w:rPr>
          <w:rFonts w:hint="eastAsia" w:ascii="仿宋_GB2312" w:hAnsi="宋体" w:eastAsia="仿宋_GB2312" w:cs="宋体"/>
          <w:b w:val="0"/>
          <w:bCs w:val="0"/>
          <w:sz w:val="32"/>
          <w:szCs w:val="32"/>
        </w:rPr>
      </w:pPr>
      <w:r>
        <w:rPr>
          <w:rFonts w:hint="eastAsia" w:ascii="黑体" w:hAnsi="黑体" w:eastAsia="黑体" w:cs="黑体"/>
          <w:b w:val="0"/>
          <w:bCs w:val="0"/>
          <w:sz w:val="32"/>
          <w:szCs w:val="32"/>
        </w:rPr>
        <w:t>第九条</w:t>
      </w:r>
      <w:r>
        <w:rPr>
          <w:rFonts w:hint="eastAsia" w:ascii="仿宋_GB2312" w:hAnsi="宋体" w:eastAsia="仿宋_GB2312" w:cs="宋体"/>
          <w:b w:val="0"/>
          <w:bCs w:val="0"/>
          <w:sz w:val="32"/>
          <w:szCs w:val="32"/>
        </w:rPr>
        <w:t>　各级人民政府应当根据教育事业发展的需要，统筹规划和安排教育基本建设及教育设施的配套建设。</w:t>
      </w:r>
    </w:p>
    <w:p>
      <w:pPr>
        <w:pStyle w:val="3"/>
        <w:widowControl w:val="0"/>
        <w:wordWrap/>
        <w:adjustRightInd/>
        <w:snapToGrid/>
        <w:spacing w:line="560" w:lineRule="exact"/>
        <w:ind w:left="0" w:leftChars="0" w:right="0" w:firstLine="640" w:firstLineChars="200"/>
        <w:textAlignment w:val="auto"/>
        <w:rPr>
          <w:rFonts w:hint="eastAsia" w:ascii="仿宋_GB2312" w:hAnsi="仿宋_GB2312" w:cs="仿宋_GB2312"/>
          <w:b w:val="0"/>
          <w:bCs w:val="0"/>
          <w:szCs w:val="32"/>
        </w:rPr>
      </w:pPr>
      <w:r>
        <w:rPr>
          <w:rFonts w:hint="eastAsia" w:ascii="仿宋_GB2312" w:hAnsi="仿宋_GB2312" w:cs="仿宋_GB2312"/>
          <w:b w:val="0"/>
          <w:bCs w:val="0"/>
          <w:szCs w:val="32"/>
        </w:rPr>
        <w:t>市、区人民政府应当在城市维护建设税中安排一定经费用于补助城市中小学校舍的维修。</w:t>
      </w: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第十条</w:t>
      </w:r>
      <w:r>
        <w:rPr>
          <w:rFonts w:hint="eastAsia" w:ascii="仿宋_GB2312" w:hAnsi="宋体" w:cs="宋体"/>
          <w:b w:val="0"/>
          <w:bCs w:val="0"/>
          <w:szCs w:val="32"/>
        </w:rPr>
        <w:t>　</w:t>
      </w:r>
      <w:r>
        <w:rPr>
          <w:rFonts w:hint="eastAsia" w:ascii="仿宋_GB2312" w:hAnsi="仿宋_GB2312" w:cs="仿宋_GB2312"/>
          <w:b w:val="0"/>
          <w:bCs w:val="0"/>
          <w:szCs w:val="32"/>
        </w:rPr>
        <w:t>缴纳增值税、消费税、营业税的单位和个人，应当按国家、省的有关规定缴纳教育费附加和地方教育附加。教育费附加和地方教育附加由税务部门足额征收。</w:t>
      </w:r>
    </w:p>
    <w:p>
      <w:pPr>
        <w:widowControl w:val="0"/>
        <w:wordWrap/>
        <w:adjustRightInd/>
        <w:snapToGrid/>
        <w:spacing w:line="560" w:lineRule="exact"/>
        <w:ind w:left="0" w:leftChars="0" w:right="0" w:firstLine="643"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宋体" w:eastAsia="仿宋_GB2312" w:cs="宋体"/>
          <w:b w:val="0"/>
          <w:bCs w:val="0"/>
          <w:sz w:val="32"/>
          <w:szCs w:val="32"/>
        </w:rPr>
        <w:t>　</w:t>
      </w:r>
      <w:r>
        <w:rPr>
          <w:rFonts w:hint="eastAsia" w:ascii="仿宋_GB2312" w:hAnsi="仿宋_GB2312" w:eastAsia="仿宋_GB2312" w:cs="仿宋_GB2312"/>
          <w:b w:val="0"/>
          <w:bCs w:val="0"/>
          <w:sz w:val="32"/>
          <w:szCs w:val="32"/>
        </w:rPr>
        <w:t>国家举办的学校和其他教育机构，实施义务教育的，应当免收学费、杂费和课本费；实施非义务教育的，按照有关规定收取学费用于补充教育经费。</w:t>
      </w:r>
    </w:p>
    <w:p>
      <w:pPr>
        <w:pStyle w:val="3"/>
        <w:widowControl w:val="0"/>
        <w:wordWrap/>
        <w:adjustRightInd/>
        <w:snapToGrid/>
        <w:spacing w:line="560" w:lineRule="exact"/>
        <w:ind w:left="0" w:leftChars="0" w:right="0" w:firstLine="640" w:firstLineChars="200"/>
        <w:textAlignment w:val="auto"/>
        <w:rPr>
          <w:rFonts w:hint="eastAsia" w:ascii="仿宋_GB2312" w:hAnsi="宋体" w:cs="宋体"/>
          <w:b w:val="0"/>
          <w:bCs w:val="0"/>
          <w:szCs w:val="32"/>
        </w:rPr>
      </w:pPr>
      <w:r>
        <w:rPr>
          <w:rFonts w:hint="eastAsia" w:ascii="仿宋_GB2312" w:hAnsi="宋体" w:cs="宋体"/>
          <w:b w:val="0"/>
          <w:bCs w:val="0"/>
          <w:szCs w:val="32"/>
        </w:rPr>
        <w:t>社会力量举办的学校和其他教育机构的收费，按国家有关规定执行。</w:t>
      </w:r>
    </w:p>
    <w:p>
      <w:pPr>
        <w:pStyle w:val="3"/>
        <w:widowControl w:val="0"/>
        <w:wordWrap/>
        <w:adjustRightInd/>
        <w:snapToGrid/>
        <w:spacing w:line="560" w:lineRule="exact"/>
        <w:ind w:left="0" w:leftChars="0" w:right="0" w:firstLine="667" w:firstLineChars="200"/>
        <w:textAlignment w:val="auto"/>
        <w:rPr>
          <w:rFonts w:hint="eastAsia" w:ascii="仿宋_GB2312" w:hAnsi="宋体" w:cs="宋体"/>
          <w:b w:val="0"/>
          <w:bCs w:val="0"/>
          <w:spacing w:val="6"/>
          <w:szCs w:val="32"/>
        </w:rPr>
      </w:pPr>
      <w:r>
        <w:rPr>
          <w:rFonts w:hint="eastAsia" w:ascii="黑体" w:hAnsi="黑体" w:eastAsia="黑体" w:cs="黑体"/>
          <w:b w:val="0"/>
          <w:bCs w:val="0"/>
          <w:spacing w:val="6"/>
          <w:szCs w:val="32"/>
        </w:rPr>
        <w:t>第十二条</w:t>
      </w:r>
      <w:r>
        <w:rPr>
          <w:rFonts w:hint="eastAsia" w:ascii="仿宋_GB2312" w:hAnsi="宋体" w:cs="宋体"/>
          <w:b w:val="0"/>
          <w:bCs w:val="0"/>
          <w:spacing w:val="6"/>
          <w:szCs w:val="32"/>
        </w:rPr>
        <w:t>　学校和其他教育机构在不影响正常教学秩序的前提下，开展勤工俭学和社会服务，兴办校办产业的，享受有关优惠政策。其纯收入和减免的税款，主要用于补充教育经费。</w:t>
      </w: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第十三条</w:t>
      </w:r>
      <w:r>
        <w:rPr>
          <w:rFonts w:hint="eastAsia" w:ascii="仿宋_GB2312" w:hAnsi="宋体" w:cs="宋体"/>
          <w:b w:val="0"/>
          <w:bCs w:val="0"/>
          <w:szCs w:val="32"/>
        </w:rPr>
        <w:t>　社会力量举办的学校和其他教育机构的办学经费由举办者负责筹措，各级人民政府可以在校舍建设、教学设备购置等方面给予适当支持。</w:t>
      </w: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第十四条</w:t>
      </w:r>
      <w:r>
        <w:rPr>
          <w:rFonts w:hint="eastAsia" w:ascii="仿宋_GB2312" w:hAnsi="宋体" w:cs="宋体"/>
          <w:b w:val="0"/>
          <w:bCs w:val="0"/>
          <w:szCs w:val="32"/>
        </w:rPr>
        <w:t>　鼓励境内外组织和个人对各级各类学校和教育机构提供资助或捐赠。</w:t>
      </w:r>
    </w:p>
    <w:p>
      <w:pPr>
        <w:pStyle w:val="3"/>
        <w:widowControl w:val="0"/>
        <w:wordWrap/>
        <w:adjustRightInd/>
        <w:snapToGrid/>
        <w:spacing w:line="560" w:lineRule="exact"/>
        <w:ind w:left="0" w:leftChars="0" w:right="0" w:firstLine="643" w:firstLineChars="200"/>
        <w:textAlignment w:val="auto"/>
        <w:rPr>
          <w:rFonts w:hint="eastAsia" w:ascii="宋体" w:hAnsi="宋体" w:eastAsia="宋体" w:cs="宋体"/>
          <w:b w:val="0"/>
          <w:bCs w:val="0"/>
          <w:szCs w:val="32"/>
        </w:rPr>
      </w:pPr>
    </w:p>
    <w:p>
      <w:pPr>
        <w:pStyle w:val="3"/>
        <w:widowControl w:val="0"/>
        <w:numPr>
          <w:ilvl w:val="0"/>
          <w:numId w:val="1"/>
        </w:numPr>
        <w:wordWrap/>
        <w:adjustRightInd/>
        <w:snapToGrid/>
        <w:spacing w:line="560" w:lineRule="exact"/>
        <w:ind w:left="0" w:leftChars="0" w:right="0" w:firstLine="643" w:firstLineChars="200"/>
        <w:jc w:val="center"/>
        <w:textAlignment w:val="auto"/>
        <w:rPr>
          <w:rFonts w:hint="eastAsia" w:ascii="黑体" w:hAnsi="宋体" w:eastAsia="黑体" w:cs="宋体"/>
          <w:b w:val="0"/>
          <w:bCs w:val="0"/>
          <w:szCs w:val="32"/>
        </w:rPr>
      </w:pPr>
      <w:r>
        <w:rPr>
          <w:rFonts w:hint="eastAsia" w:ascii="黑体" w:hAnsi="宋体" w:eastAsia="黑体" w:cs="宋体"/>
          <w:b w:val="0"/>
          <w:bCs w:val="0"/>
          <w:szCs w:val="32"/>
          <w:lang w:val="en-US" w:eastAsia="zh-CN"/>
        </w:rPr>
        <w:t xml:space="preserve"> </w:t>
      </w:r>
      <w:r>
        <w:rPr>
          <w:rFonts w:hint="eastAsia" w:ascii="黑体" w:hAnsi="宋体" w:eastAsia="黑体" w:cs="宋体"/>
          <w:b w:val="0"/>
          <w:bCs w:val="0"/>
          <w:szCs w:val="32"/>
        </w:rPr>
        <w:t>教育经费管理</w:t>
      </w:r>
    </w:p>
    <w:p>
      <w:pPr>
        <w:pStyle w:val="3"/>
        <w:widowControl w:val="0"/>
        <w:numPr>
          <w:ilvl w:val="0"/>
          <w:numId w:val="0"/>
        </w:numPr>
        <w:wordWrap/>
        <w:adjustRightInd/>
        <w:snapToGrid/>
        <w:spacing w:line="560" w:lineRule="exact"/>
        <w:ind w:leftChars="200" w:right="0"/>
        <w:textAlignment w:val="auto"/>
        <w:rPr>
          <w:rFonts w:hint="eastAsia" w:ascii="宋体" w:hAnsi="宋体" w:eastAsia="宋体" w:cs="宋体"/>
          <w:b w:val="0"/>
          <w:bCs w:val="0"/>
          <w:szCs w:val="32"/>
        </w:rPr>
      </w:pPr>
    </w:p>
    <w:p>
      <w:pPr>
        <w:widowControl w:val="0"/>
        <w:wordWrap/>
        <w:adjustRightInd/>
        <w:snapToGrid/>
        <w:spacing w:line="560" w:lineRule="exact"/>
        <w:ind w:left="0" w:leftChars="0" w:right="0" w:firstLine="643"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宋体" w:eastAsia="仿宋_GB2312" w:cs="宋体"/>
          <w:b w:val="0"/>
          <w:bCs w:val="0"/>
          <w:sz w:val="32"/>
          <w:szCs w:val="32"/>
        </w:rPr>
        <w:t>　</w:t>
      </w:r>
      <w:r>
        <w:rPr>
          <w:rFonts w:hint="eastAsia" w:ascii="仿宋_GB2312" w:hAnsi="仿宋_GB2312" w:eastAsia="仿宋_GB2312" w:cs="仿宋_GB2312"/>
          <w:b w:val="0"/>
          <w:bCs w:val="0"/>
          <w:sz w:val="32"/>
          <w:szCs w:val="32"/>
        </w:rPr>
        <w:t>教育行政部门按照有关规定编制年度预算，经财政部门审核后按照规定的程序提交同级人民代表大会审查和批准。</w:t>
      </w:r>
    </w:p>
    <w:p>
      <w:pPr>
        <w:pStyle w:val="3"/>
        <w:widowControl w:val="0"/>
        <w:wordWrap/>
        <w:adjustRightInd/>
        <w:snapToGrid/>
        <w:spacing w:line="560" w:lineRule="exact"/>
        <w:ind w:left="0" w:leftChars="0" w:right="0" w:firstLine="640" w:firstLineChars="200"/>
        <w:textAlignment w:val="auto"/>
        <w:rPr>
          <w:rFonts w:hint="eastAsia" w:ascii="仿宋_GB2312" w:hAnsi="仿宋_GB2312" w:cs="仿宋_GB2312"/>
          <w:b w:val="0"/>
          <w:bCs w:val="0"/>
          <w:szCs w:val="32"/>
        </w:rPr>
      </w:pPr>
      <w:r>
        <w:rPr>
          <w:rFonts w:hint="eastAsia" w:ascii="仿宋_GB2312" w:hAnsi="仿宋_GB2312" w:cs="仿宋_GB2312"/>
          <w:b w:val="0"/>
          <w:bCs w:val="0"/>
          <w:szCs w:val="32"/>
        </w:rPr>
        <w:t>不得以依照本条例筹措的其他教育经费，抵顶教育经费预算资金。</w:t>
      </w:r>
    </w:p>
    <w:p>
      <w:pPr>
        <w:widowControl w:val="0"/>
        <w:wordWrap/>
        <w:adjustRightInd/>
        <w:snapToGrid/>
        <w:spacing w:line="560" w:lineRule="exact"/>
        <w:ind w:left="0" w:leftChars="0" w:right="0" w:firstLine="643"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宋体" w:eastAsia="仿宋_GB2312" w:cs="宋体"/>
          <w:b w:val="0"/>
          <w:bCs w:val="0"/>
          <w:sz w:val="32"/>
          <w:szCs w:val="32"/>
        </w:rPr>
        <w:t>　</w:t>
      </w:r>
      <w:r>
        <w:rPr>
          <w:rFonts w:hint="eastAsia" w:ascii="仿宋_GB2312" w:hAnsi="仿宋_GB2312" w:eastAsia="仿宋_GB2312" w:cs="仿宋_GB2312"/>
          <w:b w:val="0"/>
          <w:bCs w:val="0"/>
          <w:sz w:val="32"/>
          <w:szCs w:val="32"/>
        </w:rPr>
        <w:t>教育基本建设项目由建设单位提出项目建议书，经主管部门审核后，由发展和改革部门审批并编制和下达固定资产投资计划，财政部门按投资计划和项目进度拨付财政资金。</w:t>
      </w:r>
    </w:p>
    <w:p>
      <w:pPr>
        <w:pStyle w:val="3"/>
        <w:widowControl w:val="0"/>
        <w:wordWrap/>
        <w:adjustRightInd/>
        <w:snapToGrid/>
        <w:spacing w:line="560" w:lineRule="exact"/>
        <w:ind w:left="0" w:leftChars="0" w:right="0" w:firstLine="640" w:firstLineChars="200"/>
        <w:textAlignment w:val="auto"/>
        <w:rPr>
          <w:rFonts w:hint="eastAsia" w:ascii="仿宋_GB2312" w:hAnsi="仿宋_GB2312" w:cs="仿宋_GB2312"/>
          <w:b w:val="0"/>
          <w:bCs w:val="0"/>
          <w:szCs w:val="32"/>
        </w:rPr>
      </w:pPr>
      <w:r>
        <w:rPr>
          <w:rFonts w:hint="eastAsia" w:ascii="仿宋_GB2312" w:hAnsi="仿宋_GB2312" w:cs="仿宋_GB2312"/>
          <w:b w:val="0"/>
          <w:bCs w:val="0"/>
          <w:szCs w:val="32"/>
        </w:rPr>
        <w:t>城市维护建设税中用于城市中小学校舍维修补助的部分，由市、区教育行政部门会同同级财政、建设部门安排使用。</w:t>
      </w: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第十七条</w:t>
      </w:r>
      <w:r>
        <w:rPr>
          <w:rFonts w:hint="eastAsia" w:ascii="仿宋_GB2312" w:hAnsi="宋体" w:cs="宋体"/>
          <w:b w:val="0"/>
          <w:bCs w:val="0"/>
          <w:szCs w:val="32"/>
        </w:rPr>
        <w:t>　</w:t>
      </w:r>
      <w:r>
        <w:rPr>
          <w:rFonts w:hint="eastAsia" w:ascii="仿宋_GB2312" w:hAnsi="仿宋_GB2312" w:cs="仿宋_GB2312"/>
          <w:b w:val="0"/>
          <w:bCs w:val="0"/>
          <w:szCs w:val="32"/>
        </w:rPr>
        <w:t>教育费附加、地方教育附加、从土地出让收益中计提的教育资金应当纳入预算管理。</w:t>
      </w: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第十八条</w:t>
      </w:r>
      <w:r>
        <w:rPr>
          <w:rFonts w:hint="eastAsia" w:ascii="仿宋_GB2312" w:hAnsi="宋体" w:cs="宋体"/>
          <w:b w:val="0"/>
          <w:bCs w:val="0"/>
          <w:szCs w:val="32"/>
        </w:rPr>
        <w:t>　</w:t>
      </w:r>
      <w:r>
        <w:rPr>
          <w:rFonts w:hint="eastAsia" w:ascii="仿宋_GB2312" w:hAnsi="仿宋_GB2312" w:cs="仿宋_GB2312"/>
          <w:b w:val="0"/>
          <w:bCs w:val="0"/>
          <w:szCs w:val="32"/>
        </w:rPr>
        <w:t>市、区教育行政部门每年应当定期向同级人民政府报告教育费附加和地方教育附加的收支情况。</w:t>
      </w: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第十九条</w:t>
      </w:r>
      <w:r>
        <w:rPr>
          <w:rFonts w:hint="eastAsia" w:ascii="仿宋_GB2312" w:hAnsi="宋体" w:cs="宋体"/>
          <w:b w:val="0"/>
          <w:bCs w:val="0"/>
          <w:szCs w:val="32"/>
        </w:rPr>
        <w:t>　学校和其他教育机构应当建立、健全财务管理制度，合理使用教育经费，提高使用效益，并接受各级人民政府及其有关部门对教育经费投入和使用情况的检查、监督。</w:t>
      </w:r>
    </w:p>
    <w:p>
      <w:pPr>
        <w:widowControl w:val="0"/>
        <w:wordWrap/>
        <w:adjustRightInd/>
        <w:snapToGrid/>
        <w:spacing w:line="560" w:lineRule="exact"/>
        <w:ind w:left="0" w:leftChars="0" w:right="0" w:firstLine="643"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宋体" w:eastAsia="仿宋_GB2312" w:cs="宋体"/>
          <w:b w:val="0"/>
          <w:bCs w:val="0"/>
          <w:sz w:val="32"/>
          <w:szCs w:val="32"/>
        </w:rPr>
        <w:t>　</w:t>
      </w:r>
      <w:r>
        <w:rPr>
          <w:rFonts w:hint="eastAsia" w:ascii="仿宋_GB2312" w:hAnsi="仿宋_GB2312" w:eastAsia="仿宋_GB2312" w:cs="仿宋_GB2312"/>
          <w:b w:val="0"/>
          <w:bCs w:val="0"/>
          <w:sz w:val="32"/>
          <w:szCs w:val="32"/>
        </w:rPr>
        <w:t>学校和其他教育机构向受教育者收费，应当持有价格部门核发的收费许可证，按照核定的收费项目和标准，由本单位的财务部门统一收取，并使用财政部门监制的收据或者税务部门监制的发票。</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任何学校和其他教育机构不得违反规定增加收费项目或者提高收费标准。</w:t>
      </w:r>
    </w:p>
    <w:p>
      <w:pPr>
        <w:pStyle w:val="3"/>
        <w:widowControl w:val="0"/>
        <w:wordWrap/>
        <w:adjustRightInd/>
        <w:snapToGrid/>
        <w:spacing w:line="560" w:lineRule="exact"/>
        <w:ind w:left="0" w:leftChars="0" w:right="0" w:firstLine="640" w:firstLineChars="200"/>
        <w:textAlignment w:val="auto"/>
        <w:rPr>
          <w:rFonts w:hint="eastAsia" w:ascii="仿宋_GB2312" w:hAnsi="宋体" w:cs="宋体"/>
          <w:b w:val="0"/>
          <w:bCs w:val="0"/>
          <w:szCs w:val="32"/>
        </w:rPr>
      </w:pPr>
      <w:r>
        <w:rPr>
          <w:rFonts w:hint="eastAsia" w:ascii="仿宋_GB2312" w:hAnsi="宋体" w:cs="宋体"/>
          <w:b w:val="0"/>
          <w:bCs w:val="0"/>
          <w:szCs w:val="32"/>
        </w:rPr>
        <w:t>学校和其他教育机构或者个人不得擅自向受教育者收费。</w:t>
      </w:r>
    </w:p>
    <w:p>
      <w:pPr>
        <w:pStyle w:val="3"/>
        <w:widowControl w:val="0"/>
        <w:wordWrap/>
        <w:adjustRightInd/>
        <w:snapToGrid/>
        <w:spacing w:line="560" w:lineRule="exact"/>
        <w:ind w:left="0" w:leftChars="0" w:right="0" w:firstLine="658" w:firstLineChars="200"/>
        <w:textAlignment w:val="auto"/>
        <w:rPr>
          <w:rFonts w:hint="eastAsia" w:ascii="仿宋_GB2312" w:hAnsi="宋体" w:cs="宋体"/>
          <w:b w:val="0"/>
          <w:bCs w:val="0"/>
          <w:spacing w:val="4"/>
          <w:szCs w:val="32"/>
        </w:rPr>
      </w:pPr>
      <w:r>
        <w:rPr>
          <w:rFonts w:hint="eastAsia" w:ascii="黑体" w:hAnsi="黑体" w:eastAsia="黑体" w:cs="黑体"/>
          <w:b w:val="0"/>
          <w:bCs w:val="0"/>
          <w:spacing w:val="4"/>
          <w:szCs w:val="32"/>
        </w:rPr>
        <w:t>第二十一条</w:t>
      </w:r>
      <w:r>
        <w:rPr>
          <w:rFonts w:hint="eastAsia" w:ascii="仿宋_GB2312" w:hAnsi="宋体" w:cs="宋体"/>
          <w:b w:val="0"/>
          <w:bCs w:val="0"/>
          <w:spacing w:val="4"/>
          <w:szCs w:val="32"/>
        </w:rPr>
        <w:t>　学校和其他教育机构接受、使用资助或捐赠的，应当及时公布接受、使用情况。捐助者有使用要求的，使用者应当在不违反国家有关规定的前提下，按照捐助者的意愿使用。</w:t>
      </w: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第二十二条</w:t>
      </w:r>
      <w:r>
        <w:rPr>
          <w:rFonts w:hint="eastAsia" w:ascii="仿宋_GB2312" w:hAnsi="宋体" w:cs="宋体"/>
          <w:b w:val="0"/>
          <w:bCs w:val="0"/>
          <w:szCs w:val="32"/>
        </w:rPr>
        <w:t>　本市设立的教育基金，应当纳入财政专户管理，使用情况每年经审计后应当向社会公布。</w:t>
      </w: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第二十三条</w:t>
      </w:r>
      <w:r>
        <w:rPr>
          <w:rFonts w:hint="eastAsia" w:ascii="仿宋_GB2312" w:hAnsi="宋体" w:cs="宋体"/>
          <w:b w:val="0"/>
          <w:bCs w:val="0"/>
          <w:szCs w:val="32"/>
        </w:rPr>
        <w:t>　各种教育经费必须按规定用途使用。任何组织和个人不得克扣、侵占、挪用、贪污教育经费。</w:t>
      </w: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第二十四条</w:t>
      </w:r>
      <w:r>
        <w:rPr>
          <w:rFonts w:hint="eastAsia" w:ascii="仿宋_GB2312" w:hAnsi="宋体" w:cs="宋体"/>
          <w:b w:val="0"/>
          <w:bCs w:val="0"/>
          <w:szCs w:val="32"/>
        </w:rPr>
        <w:t xml:space="preserve">　国家举办的学校和其他教育机构购买属于政府采购范围的教学仪器、设备的，实行政府集中采购制度；进行基本建设工程的，实行招标投标制度。 </w:t>
      </w:r>
    </w:p>
    <w:p>
      <w:pPr>
        <w:pStyle w:val="3"/>
        <w:widowControl w:val="0"/>
        <w:wordWrap/>
        <w:adjustRightInd/>
        <w:snapToGrid/>
        <w:spacing w:line="560" w:lineRule="exact"/>
        <w:ind w:left="0" w:leftChars="0" w:right="0" w:firstLine="643" w:firstLineChars="200"/>
        <w:textAlignment w:val="auto"/>
        <w:rPr>
          <w:rFonts w:hint="eastAsia" w:ascii="宋体" w:hAnsi="宋体" w:eastAsia="宋体" w:cs="宋体"/>
          <w:b w:val="0"/>
          <w:bCs w:val="0"/>
          <w:szCs w:val="32"/>
        </w:rPr>
      </w:pPr>
    </w:p>
    <w:p>
      <w:pPr>
        <w:pStyle w:val="3"/>
        <w:widowControl w:val="0"/>
        <w:numPr>
          <w:ilvl w:val="0"/>
          <w:numId w:val="2"/>
        </w:numPr>
        <w:wordWrap/>
        <w:adjustRightInd/>
        <w:snapToGrid/>
        <w:spacing w:line="560" w:lineRule="exact"/>
        <w:ind w:left="0" w:leftChars="0" w:right="0" w:firstLine="643" w:firstLineChars="200"/>
        <w:jc w:val="center"/>
        <w:textAlignment w:val="auto"/>
        <w:rPr>
          <w:rFonts w:hint="eastAsia" w:ascii="黑体" w:hAnsi="宋体" w:eastAsia="黑体" w:cs="宋体"/>
          <w:b w:val="0"/>
          <w:bCs w:val="0"/>
          <w:szCs w:val="32"/>
        </w:rPr>
      </w:pPr>
      <w:r>
        <w:rPr>
          <w:rFonts w:hint="eastAsia" w:ascii="黑体" w:hAnsi="宋体" w:eastAsia="黑体" w:cs="宋体"/>
          <w:b w:val="0"/>
          <w:bCs w:val="0"/>
          <w:szCs w:val="32"/>
          <w:lang w:val="en-US" w:eastAsia="zh-CN"/>
        </w:rPr>
        <w:t xml:space="preserve"> </w:t>
      </w:r>
      <w:r>
        <w:rPr>
          <w:rFonts w:hint="eastAsia" w:ascii="黑体" w:hAnsi="宋体" w:eastAsia="黑体" w:cs="宋体"/>
          <w:b w:val="0"/>
          <w:bCs w:val="0"/>
          <w:szCs w:val="32"/>
        </w:rPr>
        <w:t>法律责任</w:t>
      </w:r>
    </w:p>
    <w:p>
      <w:pPr>
        <w:pStyle w:val="3"/>
        <w:widowControl w:val="0"/>
        <w:numPr>
          <w:ilvl w:val="0"/>
          <w:numId w:val="0"/>
        </w:numPr>
        <w:wordWrap/>
        <w:adjustRightInd/>
        <w:snapToGrid/>
        <w:spacing w:line="560" w:lineRule="exact"/>
        <w:ind w:leftChars="200" w:right="0"/>
        <w:textAlignment w:val="auto"/>
        <w:rPr>
          <w:rFonts w:hint="eastAsia" w:ascii="宋体" w:hAnsi="宋体" w:eastAsia="宋体" w:cs="宋体"/>
          <w:b w:val="0"/>
          <w:bCs w:val="0"/>
          <w:szCs w:val="32"/>
        </w:rPr>
      </w:pPr>
    </w:p>
    <w:p>
      <w:pPr>
        <w:widowControl w:val="0"/>
        <w:wordWrap/>
        <w:adjustRightInd/>
        <w:snapToGrid/>
        <w:spacing w:line="560" w:lineRule="exact"/>
        <w:ind w:left="0" w:leftChars="0" w:right="0" w:firstLine="643"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宋体" w:eastAsia="仿宋_GB2312" w:cs="宋体"/>
          <w:b w:val="0"/>
          <w:bCs w:val="0"/>
          <w:sz w:val="32"/>
          <w:szCs w:val="32"/>
        </w:rPr>
        <w:t>　</w:t>
      </w:r>
      <w:r>
        <w:rPr>
          <w:rFonts w:hint="eastAsia" w:ascii="仿宋_GB2312" w:hAnsi="仿宋_GB2312" w:eastAsia="仿宋_GB2312" w:cs="仿宋_GB2312"/>
          <w:b w:val="0"/>
          <w:bCs w:val="0"/>
          <w:sz w:val="32"/>
          <w:szCs w:val="32"/>
        </w:rPr>
        <w:t>有下列行为之一的，由同级人民政府或者有关部门责令退还、限期改正；情节严重的，对直接负责的主管人员和其他直接责任人员，给予行政处分。</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（一）违反本条例第十五条第二款规定，以依照本条例筹措的经费抵顶教育经费预算资金的；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（二）违反本条例第二十条第一款规定，不使用财政部门监制的收据或者税务部门监制的发票的；</w:t>
      </w:r>
    </w:p>
    <w:p>
      <w:pPr>
        <w:pStyle w:val="3"/>
        <w:widowControl w:val="0"/>
        <w:wordWrap/>
        <w:adjustRightInd/>
        <w:snapToGrid/>
        <w:spacing w:line="560" w:lineRule="exact"/>
        <w:ind w:left="0" w:leftChars="0" w:right="0" w:firstLine="640" w:firstLineChars="200"/>
        <w:textAlignment w:val="auto"/>
        <w:rPr>
          <w:rFonts w:hint="eastAsia" w:ascii="仿宋_GB2312" w:hAnsi="仿宋_GB2312" w:cs="仿宋_GB2312"/>
          <w:b w:val="0"/>
          <w:bCs w:val="0"/>
          <w:szCs w:val="32"/>
        </w:rPr>
      </w:pPr>
      <w:r>
        <w:rPr>
          <w:rFonts w:hint="eastAsia" w:ascii="仿宋_GB2312" w:hAnsi="仿宋_GB2312" w:cs="仿宋_GB2312"/>
          <w:b w:val="0"/>
          <w:bCs w:val="0"/>
          <w:szCs w:val="32"/>
        </w:rPr>
        <w:t>（三）违反本条例第二十条第三款规定，学校和其他教育机构或者个人擅自收费的。</w:t>
      </w:r>
    </w:p>
    <w:p>
      <w:pPr>
        <w:pStyle w:val="3"/>
        <w:widowControl w:val="0"/>
        <w:wordWrap/>
        <w:adjustRightInd/>
        <w:snapToGrid/>
        <w:spacing w:line="560" w:lineRule="exact"/>
        <w:ind w:left="0" w:leftChars="0" w:right="0" w:firstLine="643" w:firstLineChars="200"/>
        <w:textAlignment w:val="auto"/>
        <w:rPr>
          <w:rFonts w:hint="eastAsia" w:ascii="仿宋_GB2312" w:hAnsi="仿宋_GB2312" w:cs="仿宋_GB2312"/>
          <w:b w:val="0"/>
          <w:bCs w:val="0"/>
          <w:szCs w:val="32"/>
        </w:rPr>
      </w:pPr>
      <w:r>
        <w:rPr>
          <w:rFonts w:hint="eastAsia" w:ascii="黑体" w:hAnsi="黑体" w:eastAsia="黑体" w:cs="黑体"/>
          <w:b w:val="0"/>
          <w:bCs w:val="0"/>
          <w:szCs w:val="32"/>
        </w:rPr>
        <w:t>第二十六条</w:t>
      </w:r>
      <w:r>
        <w:rPr>
          <w:rFonts w:hint="eastAsia" w:ascii="仿宋_GB2312" w:hAnsi="宋体" w:cs="宋体"/>
          <w:b w:val="0"/>
          <w:bCs w:val="0"/>
          <w:szCs w:val="32"/>
        </w:rPr>
        <w:t>　</w:t>
      </w:r>
      <w:r>
        <w:rPr>
          <w:rFonts w:hint="eastAsia" w:ascii="仿宋_GB2312" w:hAnsi="仿宋_GB2312" w:cs="仿宋_GB2312"/>
          <w:b w:val="0"/>
          <w:bCs w:val="0"/>
          <w:szCs w:val="32"/>
        </w:rPr>
        <w:t>违反本条例第二十条第二款规定，增加收费项目，或者提高收费标准的，由价格部门依照有关规定处理。</w:t>
      </w:r>
    </w:p>
    <w:p>
      <w:pPr>
        <w:pStyle w:val="3"/>
        <w:widowControl w:val="0"/>
        <w:wordWrap/>
        <w:adjustRightInd/>
        <w:snapToGrid/>
        <w:spacing w:line="560" w:lineRule="exact"/>
        <w:ind w:left="0" w:leftChars="0" w:right="0" w:firstLine="643" w:firstLineChars="200"/>
        <w:textAlignment w:val="auto"/>
        <w:rPr>
          <w:rFonts w:hint="eastAsia" w:ascii="仿宋_GB2312" w:hAnsi="仿宋_GB2312" w:cs="仿宋_GB2312"/>
          <w:b w:val="0"/>
          <w:bCs w:val="0"/>
          <w:szCs w:val="32"/>
        </w:rPr>
      </w:pPr>
      <w:r>
        <w:rPr>
          <w:rFonts w:hint="eastAsia" w:ascii="黑体" w:hAnsi="黑体" w:eastAsia="黑体" w:cs="黑体"/>
          <w:b w:val="0"/>
          <w:bCs w:val="0"/>
          <w:szCs w:val="32"/>
        </w:rPr>
        <w:t>第二十七条</w:t>
      </w:r>
      <w:r>
        <w:rPr>
          <w:rFonts w:hint="eastAsia" w:ascii="仿宋_GB2312" w:hAnsi="宋体" w:cs="宋体"/>
          <w:b w:val="0"/>
          <w:bCs w:val="0"/>
          <w:szCs w:val="32"/>
        </w:rPr>
        <w:t>　</w:t>
      </w:r>
      <w:r>
        <w:rPr>
          <w:rFonts w:hint="eastAsia" w:ascii="仿宋_GB2312" w:hAnsi="仿宋_GB2312" w:cs="仿宋_GB2312"/>
          <w:b w:val="0"/>
          <w:bCs w:val="0"/>
          <w:szCs w:val="32"/>
        </w:rPr>
        <w:t>违反本条例第二十三条规定，克扣、侵占、挪用、贪污教育经费的，由所在单位或者上级主管部门、审计、监察部门追缴所克扣、侵占、挪用、贪污的教育经费，并对直接负责的主管人员和其他直接责任人员，给予行政处分；构成犯罪的，由司法机关依法追究刑事责任。</w:t>
      </w:r>
    </w:p>
    <w:p>
      <w:pPr>
        <w:pStyle w:val="3"/>
        <w:widowControl w:val="0"/>
        <w:wordWrap/>
        <w:adjustRightInd/>
        <w:snapToGrid/>
        <w:spacing w:line="560" w:lineRule="exact"/>
        <w:ind w:left="0" w:leftChars="0" w:right="0" w:firstLine="643" w:firstLineChars="200"/>
        <w:textAlignment w:val="auto"/>
        <w:rPr>
          <w:rFonts w:hint="eastAsia" w:ascii="宋体" w:hAnsi="宋体" w:eastAsia="宋体" w:cs="宋体"/>
          <w:b w:val="0"/>
          <w:bCs w:val="0"/>
          <w:szCs w:val="32"/>
        </w:rPr>
      </w:pPr>
    </w:p>
    <w:p>
      <w:pPr>
        <w:pStyle w:val="3"/>
        <w:widowControl w:val="0"/>
        <w:numPr>
          <w:ilvl w:val="0"/>
          <w:numId w:val="0"/>
        </w:numPr>
        <w:wordWrap/>
        <w:adjustRightInd/>
        <w:snapToGrid/>
        <w:spacing w:line="560" w:lineRule="exact"/>
        <w:ind w:leftChars="200" w:right="0"/>
        <w:jc w:val="center"/>
        <w:textAlignment w:val="auto"/>
        <w:rPr>
          <w:rFonts w:hint="eastAsia" w:ascii="黑体" w:hAnsi="宋体" w:eastAsia="黑体" w:cs="宋体"/>
          <w:b w:val="0"/>
          <w:bCs w:val="0"/>
          <w:szCs w:val="32"/>
        </w:rPr>
      </w:pPr>
      <w:r>
        <w:rPr>
          <w:rFonts w:hint="eastAsia" w:ascii="黑体" w:hAnsi="宋体" w:eastAsia="黑体" w:cs="宋体"/>
          <w:b w:val="0"/>
          <w:bCs w:val="0"/>
          <w:szCs w:val="32"/>
          <w:lang w:val="en-US" w:eastAsia="zh-CN"/>
        </w:rPr>
        <w:t xml:space="preserve">第五章  </w:t>
      </w:r>
      <w:r>
        <w:rPr>
          <w:rFonts w:hint="eastAsia" w:ascii="黑体" w:hAnsi="宋体" w:eastAsia="黑体" w:cs="宋体"/>
          <w:b w:val="0"/>
          <w:bCs w:val="0"/>
          <w:szCs w:val="32"/>
        </w:rPr>
        <w:t>附则</w:t>
      </w:r>
    </w:p>
    <w:p>
      <w:pPr>
        <w:pStyle w:val="3"/>
        <w:widowControl w:val="0"/>
        <w:numPr>
          <w:ilvl w:val="0"/>
          <w:numId w:val="0"/>
        </w:numPr>
        <w:wordWrap/>
        <w:adjustRightInd/>
        <w:snapToGrid/>
        <w:spacing w:line="560" w:lineRule="exact"/>
        <w:ind w:leftChars="200" w:right="0"/>
        <w:textAlignment w:val="auto"/>
        <w:rPr>
          <w:rFonts w:hint="eastAsia" w:ascii="宋体" w:hAnsi="宋体" w:eastAsia="宋体" w:cs="宋体"/>
          <w:b w:val="0"/>
          <w:bCs w:val="0"/>
          <w:szCs w:val="32"/>
        </w:rPr>
      </w:pPr>
    </w:p>
    <w:p>
      <w:pPr>
        <w:pStyle w:val="3"/>
        <w:widowControl w:val="0"/>
        <w:wordWrap/>
        <w:adjustRightInd/>
        <w:snapToGrid/>
        <w:spacing w:line="560" w:lineRule="exact"/>
        <w:ind w:left="0" w:leftChars="0" w:right="0" w:firstLine="643" w:firstLineChars="200"/>
        <w:textAlignment w:val="auto"/>
        <w:rPr>
          <w:rFonts w:hint="eastAsia" w:ascii="仿宋_GB2312" w:hAnsi="宋体" w:cs="宋体"/>
          <w:b w:val="0"/>
          <w:bCs w:val="0"/>
          <w:szCs w:val="32"/>
        </w:rPr>
      </w:pPr>
      <w:r>
        <w:rPr>
          <w:rFonts w:hint="eastAsia" w:ascii="黑体" w:hAnsi="黑体" w:eastAsia="黑体" w:cs="黑体"/>
          <w:b w:val="0"/>
          <w:bCs w:val="0"/>
          <w:szCs w:val="32"/>
        </w:rPr>
        <w:t>第二十八条</w:t>
      </w:r>
      <w:r>
        <w:rPr>
          <w:rFonts w:hint="eastAsia" w:ascii="仿宋_GB2312" w:hAnsi="宋体" w:cs="宋体"/>
          <w:b w:val="0"/>
          <w:bCs w:val="0"/>
          <w:szCs w:val="32"/>
        </w:rPr>
        <w:t>　本条例自2001年1月1日起施行。</w:t>
      </w:r>
    </w:p>
    <w:p>
      <w:pPr>
        <w:widowControl w:val="0"/>
        <w:wordWrap/>
        <w:adjustRightInd/>
        <w:snapToGrid/>
        <w:spacing w:line="560" w:lineRule="exact"/>
        <w:ind w:left="0" w:leftChars="0" w:right="0"/>
        <w:textAlignment w:val="auto"/>
        <w:rPr>
          <w:b w:val="0"/>
          <w:bCs w:val="0"/>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AC9F"/>
    <w:multiLevelType w:val="singleLevel"/>
    <w:tmpl w:val="5873AC9F"/>
    <w:lvl w:ilvl="0" w:tentative="0">
      <w:start w:val="1"/>
      <w:numFmt w:val="chineseCounting"/>
      <w:suff w:val="space"/>
      <w:lvlText w:val="第%1章"/>
      <w:lvlJc w:val="left"/>
    </w:lvl>
  </w:abstractNum>
  <w:abstractNum w:abstractNumId="1">
    <w:nsid w:val="5874E759"/>
    <w:multiLevelType w:val="singleLevel"/>
    <w:tmpl w:val="5874E759"/>
    <w:lvl w:ilvl="0" w:tentative="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DB22CC5"/>
    <w:rsid w:val="10483EDD"/>
    <w:rsid w:val="111A31B4"/>
    <w:rsid w:val="13C0032E"/>
    <w:rsid w:val="175132C8"/>
    <w:rsid w:val="18E14DFA"/>
    <w:rsid w:val="19691A60"/>
    <w:rsid w:val="1A4E573F"/>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5201FF7"/>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60861D1"/>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Plain Text"/>
    <w:basedOn w:val="1"/>
    <w:uiPriority w:val="0"/>
    <w:rPr>
      <w:rFonts w:ascii="宋体" w:hAnsi="Courier New" w:eastAsia="仿宋_GB2312" w:cs="Courier New"/>
      <w:sz w:val="32"/>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2017-01-18T15:55:47Z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