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庆阳市禁牧条例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（2017年5月24日庆阳市第四届人民代表大会常务委员会第六次会议通过  2017年6月8日甘肃省第十二届人民代表大会常务委员会第三十三次会议批准 2021年5月21日庆阳市第四届人民代表大会常务委员会第三十六次会议修订  2021年7月28日甘肃省第十三届人民代表大会常务委员会第二十五次会议批准）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为了保护和培育林草植被，全面推进生态文明建设，根据有关法律法规的规定，结合本市实际，制定本条例。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本市行政区域内的禁牧活动适用本条例。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本条例所称禁牧，是指在划定的禁牧区域，实施禁止放养羊、牛、驴、骡、马等草食动物的管护措施。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禁牧工作遵循统筹规划、保护优先、封育结合、严格管理和绿色发展的原则。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下列区域实行禁牧：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（一）幼林地；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（三）风景名胜区；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（四）严重退化、沙化、盐碱化、荒漠化的草原和生态脆弱区、重要水源涵养区的草原；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（五）划定的饮用水水源一级保护区；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（六）划定的沙化土地封禁保护区域；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（七）河道堤防和护堤地；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（八）划定封禁的山区、丘陵区、风沙区以及容易发生水土流失的其他区域；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（九）法律、法规规定禁牧的其他区域。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市、县（区）、乡（镇）人民政府、街道办事处应当加强禁牧宣传教育，鼓励基层群众自治组织、社会组织开展禁牧法律法规和知识的宣传，按照“谁主管谁负责，谁经营谁管护”的原则，建立禁牧责任制，并纳入目标管理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报刊、广播、电视、互联网等媒体应当积极开展禁牧公益宣传，加强舆论监督。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鼓励单位和个人对违反本条例的行为进行举报，对举报属实人员给予奖励。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县级人民政府根据划定的禁牧区域发布禁牧令，制定和完善相关禁牧管护制度，在禁牧区域的主要出入口、围栏区域、人畜活动区域设立界桩、围网、标牌等设施。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支持和鼓励农村集体经济组织、畜牧业合作经济组织和农民发展舍饲养殖，转变养殖方式。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林业和草原主管部门负责管理幼林地、自然保护区、风景名胜区、沙化土地封禁保护区，严重退化、沙化、盐碱化、荒漠化的草原和生态脆弱区、重要水源涵养区的草原。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水土保持机构负责管理划定的封禁的山区、丘陵区、风沙区以及容易发生水土流失的其他区域。</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生态环境主管部门负责管理划定的饮用水水源一级保护区。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水务主管部门负责管理河道堤防和护堤地。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乡（镇）人民政府、街道办事处具体负责本辖区禁牧管理工作。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乡（镇）人民政府、街道办事处应当指导和协助村民委员会、居民委员会根据实际需要，建立禁牧管护组织，配备或者聘用专职、兼职管护人员，明确管护的义务和责任，实行禁牧承包责任制。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国有企事业单位管理的林地、草地，由国有企事业单位负责禁牧管护。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乡（镇）、村集体管理的林地、草地，由乡（镇）、村组负责禁牧管护。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承包、租赁、拍卖、股份合作等形式获得使用权的林地、草地，由经营者负责禁牧管护。</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禁牧区域内禁止下列行为：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（一）放养羊、牛、驴、骡、马等草食动物的；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（二）盗窃、抢夺、故意损毁或者擅自移动禁牧围网、标志、标牌和界桩等设施的；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（三）法律、法规禁止的其他行为。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违反本条例规定，在第五条第一项至六项禁牧区域内放养羊、牛、驴、骡、马等草食动物的，依照有关法律、法规的规定处罚。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规定，在第五条第七项禁牧区域内放养羊、牛、驴、骡、马等草食动物的，由市、县（区）水务主管部门给予警告，责令停止违法行为，并处每次每只羊五十元罚款，每次每头牛、驴、骡、马等草食动物一百元罚款，每次累计罚款不得超过一万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违反本条例第十一条第二项规定，依照《中华人民共和国治安管理处罚法》《中华人民共和国森林法》等有关法律、法规规定处罚；构成犯罪的，依法追究刑事责任。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当事人对林业和草原、水务和生态环境主管部门作出的行政处罚不服的，可以依法申请行政复议或者提起行政诉讼。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禁牧管理部门或者其他有关部门及其执法机构的工作人员违反本条例规定，由其所在单位或者上级主管机关对负有直接责任的主管人员和其他直接责任人员依法给予处分；构成犯罪的，依法追究刑事责任。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本条例自2021年10月1日起施行。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D54EB"/>
    <w:rsid w:val="09AF5A8A"/>
    <w:rsid w:val="09D210F6"/>
    <w:rsid w:val="0A292DA7"/>
    <w:rsid w:val="0A927B1C"/>
    <w:rsid w:val="0A9C3CC5"/>
    <w:rsid w:val="0AFC2950"/>
    <w:rsid w:val="0B3229E0"/>
    <w:rsid w:val="0B8E3F2A"/>
    <w:rsid w:val="0B9511A5"/>
    <w:rsid w:val="0BC44602"/>
    <w:rsid w:val="0C574FFF"/>
    <w:rsid w:val="0CEC26A8"/>
    <w:rsid w:val="0D6619FD"/>
    <w:rsid w:val="0ED86262"/>
    <w:rsid w:val="0F022AB7"/>
    <w:rsid w:val="0FCB46D9"/>
    <w:rsid w:val="10324FF6"/>
    <w:rsid w:val="10554A16"/>
    <w:rsid w:val="105D19F5"/>
    <w:rsid w:val="107059CD"/>
    <w:rsid w:val="10976991"/>
    <w:rsid w:val="112F3E9A"/>
    <w:rsid w:val="119E112A"/>
    <w:rsid w:val="12385206"/>
    <w:rsid w:val="12416BB9"/>
    <w:rsid w:val="12B555ED"/>
    <w:rsid w:val="131E7E75"/>
    <w:rsid w:val="14DD5773"/>
    <w:rsid w:val="15F563BF"/>
    <w:rsid w:val="16463171"/>
    <w:rsid w:val="166E6F16"/>
    <w:rsid w:val="180E6859"/>
    <w:rsid w:val="18A3459A"/>
    <w:rsid w:val="18AB5F26"/>
    <w:rsid w:val="18FB419B"/>
    <w:rsid w:val="19120BDC"/>
    <w:rsid w:val="19825F2F"/>
    <w:rsid w:val="1ABC3AD8"/>
    <w:rsid w:val="1B1378D0"/>
    <w:rsid w:val="1B8A28FD"/>
    <w:rsid w:val="1BB56B62"/>
    <w:rsid w:val="1C365D82"/>
    <w:rsid w:val="1C695E19"/>
    <w:rsid w:val="1C7207DF"/>
    <w:rsid w:val="1D3D4E80"/>
    <w:rsid w:val="1E11031C"/>
    <w:rsid w:val="1F2924BE"/>
    <w:rsid w:val="1F6F6A8D"/>
    <w:rsid w:val="200730C5"/>
    <w:rsid w:val="20AC168E"/>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42997"/>
    <w:rsid w:val="377D1592"/>
    <w:rsid w:val="37863616"/>
    <w:rsid w:val="378F0099"/>
    <w:rsid w:val="37A70D00"/>
    <w:rsid w:val="388E5AE2"/>
    <w:rsid w:val="39AD2141"/>
    <w:rsid w:val="39E654CC"/>
    <w:rsid w:val="3A12468A"/>
    <w:rsid w:val="3B342B44"/>
    <w:rsid w:val="3CFB3CD6"/>
    <w:rsid w:val="3D793D05"/>
    <w:rsid w:val="3DA31B26"/>
    <w:rsid w:val="3DCB22BA"/>
    <w:rsid w:val="3E501754"/>
    <w:rsid w:val="3E7F4BF7"/>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307402"/>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2A14D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F307ED"/>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2249B1"/>
    <w:rsid w:val="5D345C46"/>
    <w:rsid w:val="5EB44E27"/>
    <w:rsid w:val="5EB724B6"/>
    <w:rsid w:val="5F2C27E5"/>
    <w:rsid w:val="5FDC70A6"/>
    <w:rsid w:val="607E06A1"/>
    <w:rsid w:val="608E4BF4"/>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FC432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3F15E61"/>
    <w:rsid w:val="74007FCC"/>
    <w:rsid w:val="74B603C7"/>
    <w:rsid w:val="758A2733"/>
    <w:rsid w:val="75B23F22"/>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2021-09-23T10:27:02Z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