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EB76C5">
      <w:pPr>
        <w:pStyle w:val="16"/>
        <w:bidi w:val="0"/>
        <w:rPr>
          <w:rFonts w:hint="eastAsia"/>
          <w:lang w:val="en-US" w:eastAsia="zh-CN"/>
        </w:rPr>
      </w:pPr>
    </w:p>
    <w:p w14:paraId="681EA113">
      <w:pPr>
        <w:pStyle w:val="16"/>
        <w:bidi w:val="0"/>
        <w:rPr>
          <w:rFonts w:hint="eastAsia"/>
        </w:rPr>
      </w:pPr>
    </w:p>
    <w:p w14:paraId="7A8625B7">
      <w:pPr>
        <w:pStyle w:val="3"/>
        <w:bidi w:val="0"/>
      </w:pPr>
      <w:r>
        <w:rPr>
          <w:rFonts w:hint="eastAsia"/>
        </w:rPr>
        <w:t>延边朝鲜族自治州</w:t>
      </w:r>
      <w:r>
        <w:rPr>
          <w:rFonts w:hint="eastAsia"/>
        </w:rPr>
        <w:br w:type="textWrapping"/>
      </w:r>
      <w:r>
        <w:rPr>
          <w:rFonts w:hint="eastAsia"/>
        </w:rPr>
        <w:t>促进黑木耳产业发展条例</w:t>
      </w:r>
    </w:p>
    <w:p w14:paraId="1E46D133">
      <w:pPr>
        <w:pStyle w:val="16"/>
        <w:bidi w:val="0"/>
        <w:rPr>
          <w:rFonts w:hint="eastAsia"/>
        </w:rPr>
      </w:pPr>
    </w:p>
    <w:p w14:paraId="6ADC7E49">
      <w:pPr>
        <w:pStyle w:val="13"/>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rPr>
      </w:pPr>
      <w:r>
        <w:rPr>
          <w:rFonts w:hint="eastAsia"/>
        </w:rPr>
        <w:t>（202</w:t>
      </w:r>
      <w:r>
        <w:rPr>
          <w:rFonts w:hint="eastAsia"/>
          <w:lang w:val="en-US" w:eastAsia="zh-CN"/>
        </w:rPr>
        <w:t>4</w:t>
      </w:r>
      <w:r>
        <w:rPr>
          <w:rFonts w:hint="eastAsia"/>
        </w:rPr>
        <w:t>年</w:t>
      </w:r>
      <w:r>
        <w:rPr>
          <w:rFonts w:hint="eastAsia"/>
          <w:lang w:val="en-US" w:eastAsia="zh-CN"/>
        </w:rPr>
        <w:t>1</w:t>
      </w:r>
      <w:r>
        <w:rPr>
          <w:rFonts w:hint="eastAsia"/>
        </w:rPr>
        <w:t>月</w:t>
      </w:r>
      <w:r>
        <w:rPr>
          <w:rFonts w:hint="eastAsia"/>
          <w:lang w:val="en-US" w:eastAsia="zh-CN"/>
        </w:rPr>
        <w:t>19</w:t>
      </w:r>
      <w:r>
        <w:rPr>
          <w:rFonts w:hint="eastAsia"/>
        </w:rPr>
        <w:t>日延边朝鲜族自治州第</w:t>
      </w:r>
      <w:r>
        <w:rPr>
          <w:rFonts w:hint="eastAsia"/>
          <w:lang w:eastAsia="zh-CN"/>
        </w:rPr>
        <w:t>十六</w:t>
      </w:r>
      <w:r>
        <w:rPr>
          <w:rFonts w:hint="eastAsia"/>
        </w:rPr>
        <w:t>届人民代表大会第</w:t>
      </w:r>
      <w:r>
        <w:rPr>
          <w:rFonts w:hint="eastAsia"/>
          <w:lang w:eastAsia="zh-CN"/>
        </w:rPr>
        <w:t>三</w:t>
      </w:r>
      <w:r>
        <w:rPr>
          <w:rFonts w:hint="eastAsia"/>
        </w:rPr>
        <w:t>次会议通过</w:t>
      </w:r>
      <w:r>
        <w:rPr>
          <w:rFonts w:hint="eastAsia"/>
          <w:lang w:val="en-US" w:eastAsia="zh-CN"/>
        </w:rPr>
        <w:t>　</w:t>
      </w:r>
      <w:r>
        <w:rPr>
          <w:rFonts w:hint="eastAsia"/>
        </w:rPr>
        <w:t>202</w:t>
      </w:r>
      <w:r>
        <w:rPr>
          <w:rFonts w:hint="eastAsia"/>
          <w:lang w:val="en-US" w:eastAsia="zh-CN"/>
        </w:rPr>
        <w:t>4</w:t>
      </w:r>
      <w:r>
        <w:rPr>
          <w:rFonts w:hint="eastAsia"/>
        </w:rPr>
        <w:t>年</w:t>
      </w:r>
      <w:r>
        <w:rPr>
          <w:rFonts w:hint="eastAsia"/>
          <w:lang w:val="en-US" w:eastAsia="zh-CN"/>
        </w:rPr>
        <w:t>5</w:t>
      </w:r>
      <w:r>
        <w:rPr>
          <w:rFonts w:hint="eastAsia"/>
        </w:rPr>
        <w:t>月</w:t>
      </w:r>
      <w:r>
        <w:rPr>
          <w:rFonts w:hint="eastAsia"/>
          <w:lang w:val="en-US" w:eastAsia="zh-CN"/>
        </w:rPr>
        <w:t>29</w:t>
      </w:r>
      <w:r>
        <w:rPr>
          <w:rFonts w:hint="eastAsia"/>
        </w:rPr>
        <w:t>日吉林省第</w:t>
      </w:r>
      <w:r>
        <w:rPr>
          <w:rFonts w:hint="eastAsia"/>
          <w:lang w:eastAsia="zh-CN"/>
        </w:rPr>
        <w:t>十四</w:t>
      </w:r>
      <w:r>
        <w:rPr>
          <w:rFonts w:hint="eastAsia"/>
        </w:rPr>
        <w:t>届人民代表大会常务委员会第</w:t>
      </w:r>
      <w:r>
        <w:rPr>
          <w:rFonts w:hint="eastAsia"/>
          <w:lang w:eastAsia="zh-CN"/>
        </w:rPr>
        <w:t>十一</w:t>
      </w:r>
      <w:r>
        <w:rPr>
          <w:rFonts w:hint="eastAsia"/>
        </w:rPr>
        <w:t>次会议批准）</w:t>
      </w:r>
    </w:p>
    <w:p w14:paraId="27B37DEA">
      <w:pPr>
        <w:pStyle w:val="16"/>
        <w:bidi w:val="0"/>
        <w:rPr>
          <w:rFonts w:hint="eastAsia"/>
        </w:rPr>
      </w:pPr>
    </w:p>
    <w:p w14:paraId="7ED59F5E">
      <w:pPr>
        <w:pStyle w:val="14"/>
        <w:keepNext w:val="0"/>
        <w:keepLines w:val="0"/>
        <w:pageBreakBefore w:val="0"/>
        <w:widowControl w:val="0"/>
        <w:kinsoku/>
        <w:wordWrap/>
        <w:overflowPunct/>
        <w:topLinePunct w:val="0"/>
        <w:autoSpaceDE/>
        <w:autoSpaceDN/>
        <w:bidi w:val="0"/>
        <w:adjustRightInd/>
        <w:snapToGrid/>
        <w:ind w:firstLine="0" w:firstLineChars="0"/>
        <w:textAlignment w:val="auto"/>
      </w:pPr>
      <w:r>
        <w:rPr>
          <w:rFonts w:hint="eastAsia"/>
        </w:rPr>
        <w:t>目</w:t>
      </w:r>
      <w:r>
        <w:rPr>
          <w:rFonts w:hint="eastAsia"/>
          <w:lang w:eastAsia="zh-CN"/>
        </w:rPr>
        <w:t>　　</w:t>
      </w:r>
      <w:r>
        <w:rPr>
          <w:rFonts w:hint="eastAsia"/>
        </w:rPr>
        <w:t>录</w:t>
      </w:r>
    </w:p>
    <w:p w14:paraId="1A2CBE21">
      <w:pPr>
        <w:pStyle w:val="15"/>
        <w:keepNext w:val="0"/>
        <w:keepLines w:val="0"/>
        <w:pageBreakBefore w:val="0"/>
        <w:widowControl w:val="0"/>
        <w:kinsoku/>
        <w:wordWrap/>
        <w:overflowPunct/>
        <w:topLinePunct w:val="0"/>
        <w:autoSpaceDE/>
        <w:autoSpaceDN/>
        <w:bidi w:val="0"/>
        <w:adjustRightInd/>
        <w:snapToGrid/>
        <w:ind w:firstLine="0" w:firstLineChars="0"/>
        <w:textAlignment w:val="auto"/>
      </w:pPr>
      <w:r>
        <w:rPr>
          <w:rFonts w:hint="eastAsia"/>
        </w:rPr>
        <w:t>第一章</w:t>
      </w:r>
      <w:r>
        <w:rPr>
          <w:rFonts w:hint="eastAsia"/>
          <w:lang w:eastAsia="zh-CN"/>
        </w:rPr>
        <w:t>　</w:t>
      </w:r>
      <w:r>
        <w:rPr>
          <w:rFonts w:hint="eastAsia"/>
        </w:rPr>
        <w:t>总</w:t>
      </w:r>
      <w:r>
        <w:rPr>
          <w:rFonts w:hint="eastAsia"/>
          <w:lang w:eastAsia="zh-CN"/>
        </w:rPr>
        <w:t>　　</w:t>
      </w:r>
      <w:r>
        <w:rPr>
          <w:rFonts w:hint="eastAsia"/>
        </w:rPr>
        <w:t>则</w:t>
      </w:r>
    </w:p>
    <w:p w14:paraId="0548FD23">
      <w:pPr>
        <w:pStyle w:val="15"/>
        <w:keepNext w:val="0"/>
        <w:keepLines w:val="0"/>
        <w:pageBreakBefore w:val="0"/>
        <w:widowControl w:val="0"/>
        <w:kinsoku/>
        <w:wordWrap/>
        <w:overflowPunct/>
        <w:topLinePunct w:val="0"/>
        <w:autoSpaceDE/>
        <w:autoSpaceDN/>
        <w:bidi w:val="0"/>
        <w:adjustRightInd/>
        <w:snapToGrid/>
        <w:ind w:firstLine="0" w:firstLineChars="0"/>
        <w:textAlignment w:val="auto"/>
      </w:pPr>
      <w:r>
        <w:rPr>
          <w:rFonts w:hint="eastAsia"/>
        </w:rPr>
        <w:t>第二章</w:t>
      </w:r>
      <w:r>
        <w:rPr>
          <w:rFonts w:hint="eastAsia"/>
          <w:lang w:eastAsia="zh-CN"/>
        </w:rPr>
        <w:t>　</w:t>
      </w:r>
      <w:r>
        <w:rPr>
          <w:rFonts w:hint="eastAsia"/>
        </w:rPr>
        <w:t>产业扶持</w:t>
      </w:r>
    </w:p>
    <w:p w14:paraId="79CF8D6D">
      <w:pPr>
        <w:pStyle w:val="15"/>
        <w:keepNext w:val="0"/>
        <w:keepLines w:val="0"/>
        <w:pageBreakBefore w:val="0"/>
        <w:widowControl w:val="0"/>
        <w:kinsoku/>
        <w:wordWrap/>
        <w:overflowPunct/>
        <w:topLinePunct w:val="0"/>
        <w:autoSpaceDE/>
        <w:autoSpaceDN/>
        <w:bidi w:val="0"/>
        <w:adjustRightInd/>
        <w:snapToGrid/>
        <w:ind w:firstLine="0" w:firstLineChars="0"/>
        <w:textAlignment w:val="auto"/>
      </w:pPr>
      <w:r>
        <w:rPr>
          <w:rFonts w:hint="eastAsia"/>
        </w:rPr>
        <w:t>第三章</w:t>
      </w:r>
      <w:r>
        <w:rPr>
          <w:rFonts w:hint="eastAsia"/>
          <w:lang w:eastAsia="zh-CN"/>
        </w:rPr>
        <w:t>　</w:t>
      </w:r>
      <w:r>
        <w:rPr>
          <w:rFonts w:hint="eastAsia"/>
        </w:rPr>
        <w:t>生产经营</w:t>
      </w:r>
      <w:bookmarkStart w:id="0" w:name="_GoBack"/>
      <w:bookmarkEnd w:id="0"/>
    </w:p>
    <w:p w14:paraId="67D45AE3">
      <w:pPr>
        <w:pStyle w:val="15"/>
        <w:keepNext w:val="0"/>
        <w:keepLines w:val="0"/>
        <w:pageBreakBefore w:val="0"/>
        <w:widowControl w:val="0"/>
        <w:kinsoku/>
        <w:wordWrap/>
        <w:overflowPunct/>
        <w:topLinePunct w:val="0"/>
        <w:autoSpaceDE/>
        <w:autoSpaceDN/>
        <w:bidi w:val="0"/>
        <w:adjustRightInd/>
        <w:snapToGrid/>
        <w:ind w:firstLine="0" w:firstLineChars="0"/>
        <w:textAlignment w:val="auto"/>
      </w:pPr>
      <w:r>
        <w:rPr>
          <w:rFonts w:hint="eastAsia"/>
        </w:rPr>
        <w:t>第四章</w:t>
      </w:r>
      <w:r>
        <w:rPr>
          <w:rFonts w:hint="eastAsia"/>
          <w:lang w:eastAsia="zh-CN"/>
        </w:rPr>
        <w:t>　</w:t>
      </w:r>
      <w:r>
        <w:rPr>
          <w:rFonts w:hint="eastAsia"/>
        </w:rPr>
        <w:t>品牌建设</w:t>
      </w:r>
    </w:p>
    <w:p w14:paraId="4F10B4F7">
      <w:pPr>
        <w:pStyle w:val="15"/>
        <w:keepNext w:val="0"/>
        <w:keepLines w:val="0"/>
        <w:pageBreakBefore w:val="0"/>
        <w:widowControl w:val="0"/>
        <w:kinsoku/>
        <w:wordWrap/>
        <w:overflowPunct/>
        <w:topLinePunct w:val="0"/>
        <w:autoSpaceDE/>
        <w:autoSpaceDN/>
        <w:bidi w:val="0"/>
        <w:adjustRightInd/>
        <w:snapToGrid/>
        <w:ind w:firstLine="0" w:firstLineChars="0"/>
        <w:textAlignment w:val="auto"/>
      </w:pPr>
      <w:r>
        <w:rPr>
          <w:rFonts w:hint="eastAsia"/>
        </w:rPr>
        <w:t>第五章</w:t>
      </w:r>
      <w:r>
        <w:rPr>
          <w:rFonts w:hint="eastAsia"/>
          <w:lang w:eastAsia="zh-CN"/>
        </w:rPr>
        <w:t>　</w:t>
      </w:r>
      <w:r>
        <w:rPr>
          <w:rFonts w:hint="eastAsia"/>
        </w:rPr>
        <w:t>质量监管</w:t>
      </w:r>
    </w:p>
    <w:p w14:paraId="104CD486">
      <w:pPr>
        <w:pStyle w:val="15"/>
        <w:keepNext w:val="0"/>
        <w:keepLines w:val="0"/>
        <w:pageBreakBefore w:val="0"/>
        <w:widowControl w:val="0"/>
        <w:kinsoku/>
        <w:wordWrap/>
        <w:overflowPunct/>
        <w:topLinePunct w:val="0"/>
        <w:autoSpaceDE/>
        <w:autoSpaceDN/>
        <w:bidi w:val="0"/>
        <w:adjustRightInd/>
        <w:snapToGrid/>
        <w:ind w:firstLine="0" w:firstLineChars="0"/>
        <w:textAlignment w:val="auto"/>
      </w:pPr>
      <w:r>
        <w:rPr>
          <w:rFonts w:hint="eastAsia"/>
        </w:rPr>
        <w:t>第六章</w:t>
      </w:r>
      <w:r>
        <w:rPr>
          <w:rFonts w:hint="eastAsia"/>
          <w:lang w:eastAsia="zh-CN"/>
        </w:rPr>
        <w:t>　</w:t>
      </w:r>
      <w:r>
        <w:rPr>
          <w:rFonts w:hint="eastAsia"/>
        </w:rPr>
        <w:t>法律责任</w:t>
      </w:r>
    </w:p>
    <w:p w14:paraId="49AEC82F">
      <w:pPr>
        <w:pStyle w:val="15"/>
        <w:keepNext w:val="0"/>
        <w:keepLines w:val="0"/>
        <w:pageBreakBefore w:val="0"/>
        <w:widowControl w:val="0"/>
        <w:kinsoku/>
        <w:wordWrap/>
        <w:overflowPunct/>
        <w:topLinePunct w:val="0"/>
        <w:autoSpaceDE/>
        <w:autoSpaceDN/>
        <w:bidi w:val="0"/>
        <w:adjustRightInd/>
        <w:snapToGrid/>
        <w:ind w:firstLine="0" w:firstLineChars="0"/>
        <w:textAlignment w:val="auto"/>
      </w:pPr>
      <w:r>
        <w:rPr>
          <w:rFonts w:hint="eastAsia"/>
        </w:rPr>
        <w:t>第七章</w:t>
      </w:r>
      <w:r>
        <w:rPr>
          <w:rFonts w:hint="eastAsia"/>
          <w:lang w:eastAsia="zh-CN"/>
        </w:rPr>
        <w:t>　</w:t>
      </w:r>
      <w:r>
        <w:rPr>
          <w:rFonts w:hint="eastAsia"/>
        </w:rPr>
        <w:t>附</w:t>
      </w:r>
      <w:r>
        <w:rPr>
          <w:rFonts w:hint="eastAsia"/>
          <w:lang w:eastAsia="zh-CN"/>
        </w:rPr>
        <w:t>　　</w:t>
      </w:r>
      <w:r>
        <w:rPr>
          <w:rFonts w:hint="eastAsia"/>
        </w:rPr>
        <w:t>则</w:t>
      </w:r>
    </w:p>
    <w:p w14:paraId="06B00086">
      <w:pPr>
        <w:pStyle w:val="16"/>
        <w:bidi w:val="0"/>
      </w:pPr>
    </w:p>
    <w:p w14:paraId="158905DC">
      <w:pPr>
        <w:pStyle w:val="5"/>
        <w:bidi w:val="0"/>
      </w:pPr>
      <w:r>
        <w:rPr>
          <w:rFonts w:hint="eastAsia"/>
        </w:rPr>
        <w:t>第一章</w:t>
      </w:r>
      <w:r>
        <w:rPr>
          <w:rFonts w:hint="eastAsia"/>
          <w:lang w:eastAsia="zh-CN"/>
        </w:rPr>
        <w:t>　</w:t>
      </w:r>
      <w:r>
        <w:rPr>
          <w:rFonts w:hint="eastAsia"/>
        </w:rPr>
        <w:t>总</w:t>
      </w:r>
      <w:r>
        <w:rPr>
          <w:rFonts w:hint="eastAsia"/>
          <w:lang w:eastAsia="zh-CN"/>
        </w:rPr>
        <w:t>　　</w:t>
      </w:r>
      <w:r>
        <w:rPr>
          <w:rFonts w:hint="eastAsia"/>
        </w:rPr>
        <w:t>则</w:t>
      </w:r>
    </w:p>
    <w:p w14:paraId="0E6A07D2">
      <w:pPr>
        <w:pStyle w:val="16"/>
        <w:bidi w:val="0"/>
      </w:pPr>
    </w:p>
    <w:p w14:paraId="79D066B3">
      <w:pPr>
        <w:bidi w:val="0"/>
      </w:pPr>
      <w:r>
        <w:rPr>
          <w:rFonts w:hint="eastAsia" w:eastAsia="黑体"/>
          <w:sz w:val="32"/>
          <w:lang w:eastAsia="zh-CN"/>
        </w:rPr>
        <w:t>第一条</w:t>
      </w:r>
      <w:r>
        <w:rPr>
          <w:rFonts w:hint="eastAsia"/>
          <w:lang w:eastAsia="zh-CN"/>
        </w:rPr>
        <w:t>　</w:t>
      </w:r>
      <w:r>
        <w:rPr>
          <w:rFonts w:hint="eastAsia"/>
        </w:rPr>
        <w:t>为了促进黑木耳产业高质量发展，推动产业转型升级，加快乡村产业振兴，根据有关法律法规，结合自治州实际，制定本条例。</w:t>
      </w:r>
    </w:p>
    <w:p w14:paraId="2862D48F">
      <w:pPr>
        <w:bidi w:val="0"/>
      </w:pPr>
      <w:r>
        <w:rPr>
          <w:rFonts w:hint="eastAsia" w:eastAsia="黑体"/>
          <w:sz w:val="32"/>
          <w:lang w:eastAsia="zh-CN"/>
        </w:rPr>
        <w:t>第二条</w:t>
      </w:r>
      <w:r>
        <w:rPr>
          <w:rFonts w:hint="eastAsia"/>
          <w:lang w:eastAsia="zh-CN"/>
        </w:rPr>
        <w:t>　</w:t>
      </w:r>
      <w:r>
        <w:rPr>
          <w:rFonts w:hint="eastAsia"/>
        </w:rPr>
        <w:t>在自治州行政区域内从事黑木耳科研、栽培、加工、经营以及为其提供相关服务活动，适用本条例。</w:t>
      </w:r>
    </w:p>
    <w:p w14:paraId="5761F650">
      <w:pPr>
        <w:bidi w:val="0"/>
      </w:pPr>
      <w:r>
        <w:rPr>
          <w:rFonts w:hint="eastAsia" w:eastAsia="黑体"/>
          <w:sz w:val="32"/>
          <w:lang w:eastAsia="zh-CN"/>
        </w:rPr>
        <w:t>第三条</w:t>
      </w:r>
      <w:r>
        <w:rPr>
          <w:rFonts w:hint="eastAsia"/>
          <w:lang w:eastAsia="zh-CN"/>
        </w:rPr>
        <w:t>　</w:t>
      </w:r>
      <w:r>
        <w:rPr>
          <w:rFonts w:hint="eastAsia"/>
        </w:rPr>
        <w:t>黑木耳产业应当坚持科学规划、绿色发展、创新驱动、质量安全保障、龙头企业带动、品牌引领的原则，推动黑木耳产业标准化、集约化、品牌化、产业化发展。</w:t>
      </w:r>
    </w:p>
    <w:p w14:paraId="6294EE78">
      <w:pPr>
        <w:bidi w:val="0"/>
      </w:pPr>
      <w:r>
        <w:rPr>
          <w:rFonts w:hint="eastAsia" w:eastAsia="黑体"/>
          <w:sz w:val="32"/>
          <w:lang w:eastAsia="zh-CN"/>
        </w:rPr>
        <w:t>第四条</w:t>
      </w:r>
      <w:r>
        <w:rPr>
          <w:rFonts w:hint="eastAsia"/>
          <w:lang w:eastAsia="zh-CN"/>
        </w:rPr>
        <w:t>　</w:t>
      </w:r>
      <w:r>
        <w:rPr>
          <w:rFonts w:hint="eastAsia"/>
        </w:rPr>
        <w:t>自治州、县（市）人民政府应当将黑木耳产业发展纳入国民经济和社会发展规划。</w:t>
      </w:r>
    </w:p>
    <w:p w14:paraId="2212F238">
      <w:pPr>
        <w:bidi w:val="0"/>
      </w:pPr>
      <w:r>
        <w:rPr>
          <w:rFonts w:hint="eastAsia"/>
        </w:rPr>
        <w:t>自治州人民政府应当制定全州黑木耳产业发展总体规划，优化黑木耳产业布局。县（市）人民政府应当制定本行政区域内黑木耳产业发展规划并组织实施。</w:t>
      </w:r>
    </w:p>
    <w:p w14:paraId="67A9BAB2">
      <w:pPr>
        <w:bidi w:val="0"/>
      </w:pPr>
      <w:r>
        <w:rPr>
          <w:rFonts w:hint="eastAsia"/>
        </w:rPr>
        <w:t>黑木耳产业发展规划应当与国民经济和社会发展规划、国土空间规划、生态环境保护规划等相衔接。</w:t>
      </w:r>
    </w:p>
    <w:p w14:paraId="09590A63">
      <w:pPr>
        <w:bidi w:val="0"/>
        <w:rPr>
          <w:rFonts w:hint="eastAsia"/>
          <w:lang w:eastAsia="zh-CN"/>
        </w:rPr>
      </w:pPr>
      <w:r>
        <w:rPr>
          <w:rFonts w:hint="eastAsia" w:eastAsia="黑体"/>
          <w:sz w:val="32"/>
          <w:lang w:eastAsia="zh-CN"/>
        </w:rPr>
        <w:t>第五条</w:t>
      </w:r>
      <w:r>
        <w:rPr>
          <w:rFonts w:hint="eastAsia"/>
          <w:lang w:eastAsia="zh-CN"/>
        </w:rPr>
        <w:t>　</w:t>
      </w:r>
      <w:r>
        <w:rPr>
          <w:rFonts w:hint="eastAsia"/>
        </w:rPr>
        <w:t>自治州、县（市）人民政府应当加强对黑木耳产业发展工作的领导，建立健全黑木耳产业发展协调机制，统筹解决黑木耳产业发展中的突出问题。</w:t>
      </w:r>
      <w:r>
        <w:rPr>
          <w:rFonts w:hint="eastAsia"/>
          <w:lang w:eastAsia="zh-CN"/>
        </w:rPr>
        <w:t>　</w:t>
      </w:r>
    </w:p>
    <w:p w14:paraId="3558BD4F">
      <w:pPr>
        <w:bidi w:val="0"/>
      </w:pPr>
      <w:r>
        <w:rPr>
          <w:rFonts w:hint="eastAsia"/>
        </w:rPr>
        <w:t>自治州、县（市）人民政府农业农村主管部门具体负责本行政区域内黑木耳产业发展管理工作，其他相关部门按照各自职责做好黑木耳产业发展工作。</w:t>
      </w:r>
    </w:p>
    <w:p w14:paraId="64E1FC04">
      <w:pPr>
        <w:bidi w:val="0"/>
      </w:pPr>
      <w:r>
        <w:rPr>
          <w:rFonts w:hint="eastAsia" w:eastAsia="黑体"/>
          <w:sz w:val="32"/>
          <w:lang w:eastAsia="zh-CN"/>
        </w:rPr>
        <w:t>第六条</w:t>
      </w:r>
      <w:r>
        <w:rPr>
          <w:rFonts w:hint="eastAsia"/>
          <w:lang w:eastAsia="zh-CN"/>
        </w:rPr>
        <w:t>　</w:t>
      </w:r>
      <w:r>
        <w:rPr>
          <w:rFonts w:hint="eastAsia"/>
        </w:rPr>
        <w:t>黑木耳行业相关协会应当建立健全行业规范，加强行业自律，反映行业诉求，发挥协调、监督作用，依法依规为黑木耳生产经营者提供生产、营销、信息、技术、培训等服务。</w:t>
      </w:r>
    </w:p>
    <w:p w14:paraId="5DB7C3AA">
      <w:pPr>
        <w:pStyle w:val="16"/>
        <w:bidi w:val="0"/>
      </w:pPr>
    </w:p>
    <w:p w14:paraId="4F305A54">
      <w:pPr>
        <w:pStyle w:val="5"/>
        <w:bidi w:val="0"/>
      </w:pPr>
      <w:r>
        <w:rPr>
          <w:rFonts w:hint="eastAsia"/>
        </w:rPr>
        <w:t>第二章</w:t>
      </w:r>
      <w:r>
        <w:rPr>
          <w:rFonts w:hint="eastAsia"/>
          <w:lang w:eastAsia="zh-CN"/>
        </w:rPr>
        <w:t>　</w:t>
      </w:r>
      <w:r>
        <w:rPr>
          <w:rFonts w:hint="eastAsia"/>
        </w:rPr>
        <w:t>产业扶持</w:t>
      </w:r>
    </w:p>
    <w:p w14:paraId="6C9E8D65">
      <w:pPr>
        <w:pStyle w:val="16"/>
        <w:bidi w:val="0"/>
      </w:pPr>
    </w:p>
    <w:p w14:paraId="4B5CEFAD">
      <w:pPr>
        <w:bidi w:val="0"/>
      </w:pPr>
      <w:r>
        <w:rPr>
          <w:rFonts w:hint="eastAsia" w:eastAsia="黑体"/>
          <w:sz w:val="32"/>
          <w:lang w:eastAsia="zh-CN"/>
        </w:rPr>
        <w:t>第七条</w:t>
      </w:r>
      <w:r>
        <w:rPr>
          <w:rFonts w:hint="eastAsia"/>
          <w:lang w:eastAsia="zh-CN"/>
        </w:rPr>
        <w:t>　</w:t>
      </w:r>
      <w:r>
        <w:rPr>
          <w:rFonts w:hint="eastAsia"/>
        </w:rPr>
        <w:t>自治州、县（市）人民政府应当加强对黑木耳产业的扶持，统筹安排黑木耳产业发展专项资金，重点支持优良菌种研发保育、新技术研究推广、龙头企业升级改造、市场体系建设、品牌建设和保护、废弃菌包综合利用等。</w:t>
      </w:r>
    </w:p>
    <w:p w14:paraId="5B2A1FC2">
      <w:pPr>
        <w:bidi w:val="0"/>
      </w:pPr>
      <w:r>
        <w:rPr>
          <w:rFonts w:hint="eastAsia" w:eastAsia="黑体"/>
          <w:sz w:val="32"/>
          <w:lang w:eastAsia="zh-CN"/>
        </w:rPr>
        <w:t>第八条</w:t>
      </w:r>
      <w:r>
        <w:rPr>
          <w:rFonts w:hint="eastAsia"/>
          <w:lang w:eastAsia="zh-CN"/>
        </w:rPr>
        <w:t>　</w:t>
      </w:r>
      <w:r>
        <w:rPr>
          <w:rFonts w:hint="eastAsia"/>
        </w:rPr>
        <w:t>自治州、县（市）人民政府应当培育壮大自主创新能力强、市场前景好、竞争水平高、示范引领效果显著的黑木耳产业龙头企业，支持开发生产黑木耳食品、饮品、药品、保健品等精深加工产品，给予相应政策扶持。</w:t>
      </w:r>
    </w:p>
    <w:p w14:paraId="5A411E58">
      <w:pPr>
        <w:bidi w:val="0"/>
      </w:pPr>
      <w:r>
        <w:rPr>
          <w:rFonts w:hint="eastAsia" w:eastAsia="黑体"/>
          <w:sz w:val="32"/>
          <w:lang w:eastAsia="zh-CN"/>
        </w:rPr>
        <w:t>第九条</w:t>
      </w:r>
      <w:r>
        <w:rPr>
          <w:rFonts w:hint="eastAsia"/>
          <w:lang w:eastAsia="zh-CN"/>
        </w:rPr>
        <w:t>　</w:t>
      </w:r>
      <w:r>
        <w:rPr>
          <w:rFonts w:hint="eastAsia"/>
        </w:rPr>
        <w:t>自治州、县（市）人民政府应当深化产学研合作，推动高等院校、科研机构、黑木耳龙头企业联合打造科技研发、技术服务、成果孵化的科技创新平台，提升高等院校、科研机构全产业链服务水平，促进科技成果的应用与推广。</w:t>
      </w:r>
    </w:p>
    <w:p w14:paraId="2608C2E6">
      <w:pPr>
        <w:bidi w:val="0"/>
      </w:pPr>
      <w:r>
        <w:rPr>
          <w:rFonts w:hint="eastAsia" w:eastAsia="黑体"/>
          <w:sz w:val="32"/>
          <w:lang w:eastAsia="zh-CN"/>
        </w:rPr>
        <w:t>第十条</w:t>
      </w:r>
      <w:r>
        <w:rPr>
          <w:rFonts w:hint="eastAsia"/>
          <w:lang w:eastAsia="zh-CN"/>
        </w:rPr>
        <w:t>　</w:t>
      </w:r>
      <w:r>
        <w:rPr>
          <w:rFonts w:hint="eastAsia"/>
        </w:rPr>
        <w:t>自治州、县（市）人民政府鼓励金融机构为黑木耳产业发展提供资金支持，开发适合黑木耳产业发展的金融产品和服务模式。</w:t>
      </w:r>
    </w:p>
    <w:p w14:paraId="727AC1A9">
      <w:pPr>
        <w:bidi w:val="0"/>
        <w:rPr>
          <w:rFonts w:hint="eastAsia"/>
          <w:lang w:eastAsia="zh-CN"/>
        </w:rPr>
      </w:pPr>
      <w:r>
        <w:rPr>
          <w:rFonts w:hint="eastAsia"/>
        </w:rPr>
        <w:t>鼓励政策性农业融资担保公司降低黑木耳产业融资门槛，对黑木耳生产经营者执行优惠担保费率。</w:t>
      </w:r>
    </w:p>
    <w:p w14:paraId="24275E6F">
      <w:pPr>
        <w:bidi w:val="0"/>
      </w:pPr>
      <w:r>
        <w:rPr>
          <w:rFonts w:hint="eastAsia"/>
        </w:rPr>
        <w:t>鼓励黑木耳生产经营者参加政策性农业保险，保险费由自治州、县（市）财政给予一定补贴。</w:t>
      </w:r>
    </w:p>
    <w:p w14:paraId="61EF3F0C">
      <w:pPr>
        <w:bidi w:val="0"/>
      </w:pPr>
      <w:r>
        <w:rPr>
          <w:rFonts w:hint="eastAsia" w:eastAsia="黑体"/>
          <w:sz w:val="32"/>
          <w:lang w:eastAsia="zh-CN"/>
        </w:rPr>
        <w:t>第十一条</w:t>
      </w:r>
      <w:r>
        <w:rPr>
          <w:rFonts w:hint="eastAsia"/>
          <w:lang w:eastAsia="zh-CN"/>
        </w:rPr>
        <w:t>　</w:t>
      </w:r>
      <w:r>
        <w:rPr>
          <w:rFonts w:hint="eastAsia"/>
        </w:rPr>
        <w:t>自治州、县（市）人民政府应当引导和支持生产菌包工厂化、建设标准化养菌室，建立菌包代加工及集中供应体系。</w:t>
      </w:r>
    </w:p>
    <w:p w14:paraId="4CB9CB3C">
      <w:pPr>
        <w:bidi w:val="0"/>
      </w:pPr>
      <w:r>
        <w:rPr>
          <w:rFonts w:hint="eastAsia" w:eastAsia="黑体"/>
          <w:sz w:val="32"/>
          <w:lang w:eastAsia="zh-CN"/>
        </w:rPr>
        <w:t>第十二条</w:t>
      </w:r>
      <w:r>
        <w:rPr>
          <w:rFonts w:hint="eastAsia"/>
          <w:lang w:eastAsia="zh-CN"/>
        </w:rPr>
        <w:t>　</w:t>
      </w:r>
      <w:r>
        <w:rPr>
          <w:rFonts w:hint="eastAsia"/>
        </w:rPr>
        <w:t>自治州、县（市）人民政府应当加强黑木耳集散中心建设，完善仓储、运输、质量检测和信息管理等配套服务。鼓励黑木耳生产经营者利用互联网、大数据等信息化技术，拓宽营销渠道，构建线上线下相结合的现代营销体系，巩固提升市场竞争力、影响力和辐射力。</w:t>
      </w:r>
    </w:p>
    <w:p w14:paraId="64C7D9ED">
      <w:pPr>
        <w:bidi w:val="0"/>
      </w:pPr>
      <w:r>
        <w:rPr>
          <w:rFonts w:hint="eastAsia" w:eastAsia="黑体"/>
          <w:sz w:val="32"/>
          <w:lang w:eastAsia="zh-CN"/>
        </w:rPr>
        <w:t>第十三条</w:t>
      </w:r>
      <w:r>
        <w:rPr>
          <w:rFonts w:hint="eastAsia"/>
          <w:lang w:eastAsia="zh-CN"/>
        </w:rPr>
        <w:t>　</w:t>
      </w:r>
      <w:r>
        <w:rPr>
          <w:rFonts w:hint="eastAsia"/>
        </w:rPr>
        <w:t>自治州、县（市）人民政府应当组织有关部门挖掘、收集、整理黑木耳文化资源，加强黑木耳文化宣传、交流和推广。支持黑木耳产业与文化、旅游、研学、康养等产业融合发展，提升黑木耳产业综合效益。</w:t>
      </w:r>
    </w:p>
    <w:p w14:paraId="2EDCE09B">
      <w:pPr>
        <w:bidi w:val="0"/>
      </w:pPr>
      <w:r>
        <w:rPr>
          <w:rFonts w:hint="eastAsia" w:eastAsia="黑体"/>
          <w:sz w:val="32"/>
          <w:lang w:eastAsia="zh-CN"/>
        </w:rPr>
        <w:t>第十四条</w:t>
      </w:r>
      <w:r>
        <w:rPr>
          <w:rFonts w:hint="eastAsia"/>
          <w:lang w:eastAsia="zh-CN"/>
        </w:rPr>
        <w:t>　</w:t>
      </w:r>
      <w:r>
        <w:rPr>
          <w:rFonts w:hint="eastAsia"/>
        </w:rPr>
        <w:t>自治州、县（市）人民政府农业农村主管部门应当会同有关部门加强黑木耳产业专业人才队伍建设，培养和引进黑木耳栽培、加工、经营、鉴定等职业技术人才和职业经理人。</w:t>
      </w:r>
    </w:p>
    <w:p w14:paraId="4FE3C91B">
      <w:pPr>
        <w:bidi w:val="0"/>
      </w:pPr>
      <w:r>
        <w:rPr>
          <w:rFonts w:hint="eastAsia" w:eastAsia="黑体"/>
          <w:sz w:val="32"/>
          <w:lang w:eastAsia="zh-CN"/>
        </w:rPr>
        <w:t>第十五条</w:t>
      </w:r>
      <w:r>
        <w:rPr>
          <w:rFonts w:hint="eastAsia"/>
          <w:lang w:eastAsia="zh-CN"/>
        </w:rPr>
        <w:t>　</w:t>
      </w:r>
      <w:r>
        <w:rPr>
          <w:rFonts w:hint="eastAsia"/>
        </w:rPr>
        <w:t>自治州、县（市）人民政府应当按照国家和省有关规定，对促进黑木耳产业发展有突出贡献的单位和个人，给予奖励。</w:t>
      </w:r>
    </w:p>
    <w:p w14:paraId="0C659F5B">
      <w:pPr>
        <w:pStyle w:val="16"/>
        <w:bidi w:val="0"/>
      </w:pPr>
    </w:p>
    <w:p w14:paraId="31783DA9">
      <w:pPr>
        <w:pStyle w:val="5"/>
        <w:bidi w:val="0"/>
      </w:pPr>
      <w:r>
        <w:rPr>
          <w:rFonts w:hint="eastAsia"/>
        </w:rPr>
        <w:t>第三章</w:t>
      </w:r>
      <w:r>
        <w:rPr>
          <w:rFonts w:hint="eastAsia"/>
          <w:lang w:eastAsia="zh-CN"/>
        </w:rPr>
        <w:t>　</w:t>
      </w:r>
      <w:r>
        <w:rPr>
          <w:rFonts w:hint="eastAsia"/>
        </w:rPr>
        <w:t>生产经营</w:t>
      </w:r>
    </w:p>
    <w:p w14:paraId="60E1594B">
      <w:pPr>
        <w:pStyle w:val="16"/>
        <w:bidi w:val="0"/>
      </w:pPr>
    </w:p>
    <w:p w14:paraId="5ABFBF96">
      <w:pPr>
        <w:bidi w:val="0"/>
      </w:pPr>
      <w:r>
        <w:rPr>
          <w:rFonts w:hint="eastAsia" w:eastAsia="黑体"/>
          <w:sz w:val="32"/>
          <w:lang w:eastAsia="zh-CN"/>
        </w:rPr>
        <w:t>第十六条</w:t>
      </w:r>
      <w:r>
        <w:rPr>
          <w:rFonts w:hint="eastAsia"/>
          <w:lang w:eastAsia="zh-CN"/>
        </w:rPr>
        <w:t>　</w:t>
      </w:r>
      <w:r>
        <w:rPr>
          <w:rFonts w:hint="eastAsia"/>
        </w:rPr>
        <w:t>自治州、县（市）人民政府农业农村主管部门应当鼓励单位和个人开展黑木耳种质资源保护与良种选育、引进、推广工作。鼓励科研单位与企业相结合选育新品种，引导科技型企业投资选育、引进新品种。</w:t>
      </w:r>
    </w:p>
    <w:p w14:paraId="01490471">
      <w:pPr>
        <w:bidi w:val="0"/>
      </w:pPr>
      <w:r>
        <w:rPr>
          <w:rFonts w:hint="eastAsia" w:eastAsia="黑体"/>
          <w:sz w:val="32"/>
          <w:lang w:eastAsia="zh-CN"/>
        </w:rPr>
        <w:t>第十七条</w:t>
      </w:r>
      <w:r>
        <w:rPr>
          <w:rFonts w:hint="eastAsia"/>
          <w:lang w:eastAsia="zh-CN"/>
        </w:rPr>
        <w:t>　</w:t>
      </w:r>
      <w:r>
        <w:rPr>
          <w:rFonts w:hint="eastAsia"/>
        </w:rPr>
        <w:t>自治州、县（市）人民政府农业农村主管部门应当建立健全投入品安全使用制度，加强对黑木耳栽培过程中投入品使用的管理和指导。</w:t>
      </w:r>
    </w:p>
    <w:p w14:paraId="0CEA35BA">
      <w:pPr>
        <w:bidi w:val="0"/>
      </w:pPr>
      <w:r>
        <w:rPr>
          <w:rFonts w:hint="eastAsia"/>
        </w:rPr>
        <w:t>黑木耳生产企业和农民专业合作经济组织应当建立栽培档案，档案保存期限不少于二年，并对记录的真实性和准确性负责。</w:t>
      </w:r>
    </w:p>
    <w:p w14:paraId="4DFF9EF5">
      <w:pPr>
        <w:bidi w:val="0"/>
      </w:pPr>
      <w:r>
        <w:rPr>
          <w:rFonts w:hint="eastAsia" w:eastAsia="黑体"/>
          <w:sz w:val="32"/>
          <w:lang w:eastAsia="zh-CN"/>
        </w:rPr>
        <w:t>第十八条</w:t>
      </w:r>
      <w:r>
        <w:rPr>
          <w:rFonts w:hint="eastAsia"/>
          <w:lang w:eastAsia="zh-CN"/>
        </w:rPr>
        <w:t>　</w:t>
      </w:r>
      <w:r>
        <w:rPr>
          <w:rFonts w:hint="eastAsia"/>
        </w:rPr>
        <w:t>自治州、县（市）人民政府农业农村主管部门应当制定和完善黑木耳栽培技术规程，明确黑木耳菌包生产、养菌、催芽、出耳管理、采摘、晾晒等环节的技术要求。黑木耳生产经营者应当按照黑木耳栽培技术规程生产。</w:t>
      </w:r>
    </w:p>
    <w:p w14:paraId="13055A8B">
      <w:pPr>
        <w:bidi w:val="0"/>
      </w:pPr>
      <w:r>
        <w:rPr>
          <w:rFonts w:hint="eastAsia" w:eastAsia="黑体"/>
          <w:sz w:val="32"/>
          <w:lang w:eastAsia="zh-CN"/>
        </w:rPr>
        <w:t>第十九条</w:t>
      </w:r>
      <w:r>
        <w:rPr>
          <w:rFonts w:hint="eastAsia"/>
          <w:lang w:eastAsia="zh-CN"/>
        </w:rPr>
        <w:t>　</w:t>
      </w:r>
      <w:r>
        <w:rPr>
          <w:rFonts w:hint="eastAsia"/>
        </w:rPr>
        <w:t>黑木耳加工企业应当依法取得食品生产许可，并建立食品原料进货查验记录和出厂检验记录制度，检验合格的，方可出厂销售，并保存相关凭证。</w:t>
      </w:r>
    </w:p>
    <w:p w14:paraId="20777B48">
      <w:pPr>
        <w:bidi w:val="0"/>
      </w:pPr>
      <w:r>
        <w:rPr>
          <w:rFonts w:hint="eastAsia" w:eastAsia="黑体"/>
          <w:sz w:val="32"/>
          <w:lang w:eastAsia="zh-CN"/>
        </w:rPr>
        <w:t>第二十条</w:t>
      </w:r>
      <w:r>
        <w:rPr>
          <w:rFonts w:hint="eastAsia"/>
          <w:lang w:eastAsia="zh-CN"/>
        </w:rPr>
        <w:t>　</w:t>
      </w:r>
      <w:r>
        <w:rPr>
          <w:rFonts w:hint="eastAsia"/>
        </w:rPr>
        <w:t>黑木耳制干、加工、存储、运输使用的容器、设备、包装材料等，应当符合国家有关法律法规的规定。</w:t>
      </w:r>
    </w:p>
    <w:p w14:paraId="598DA95E">
      <w:pPr>
        <w:bidi w:val="0"/>
      </w:pPr>
      <w:r>
        <w:rPr>
          <w:rFonts w:hint="eastAsia" w:eastAsia="黑体"/>
          <w:sz w:val="32"/>
          <w:lang w:eastAsia="zh-CN"/>
        </w:rPr>
        <w:t>第二十一条</w:t>
      </w:r>
      <w:r>
        <w:rPr>
          <w:rFonts w:hint="eastAsia"/>
          <w:lang w:eastAsia="zh-CN"/>
        </w:rPr>
        <w:t>　</w:t>
      </w:r>
      <w:r>
        <w:rPr>
          <w:rFonts w:hint="eastAsia"/>
        </w:rPr>
        <w:t>自治州、县（市）人民政府应当鼓励生产经营组织成立黑木耳产业联盟。支持产业联盟等社会团体制定团体标准，黑木耳生产企业制定企业标准。</w:t>
      </w:r>
    </w:p>
    <w:p w14:paraId="08B1A48C">
      <w:pPr>
        <w:bidi w:val="0"/>
      </w:pPr>
      <w:r>
        <w:rPr>
          <w:rFonts w:hint="eastAsia" w:eastAsia="黑体"/>
          <w:sz w:val="32"/>
          <w:lang w:eastAsia="zh-CN"/>
        </w:rPr>
        <w:t>第二十二条</w:t>
      </w:r>
      <w:r>
        <w:rPr>
          <w:rFonts w:hint="eastAsia"/>
          <w:lang w:eastAsia="zh-CN"/>
        </w:rPr>
        <w:t>　</w:t>
      </w:r>
      <w:r>
        <w:rPr>
          <w:rFonts w:hint="eastAsia"/>
        </w:rPr>
        <w:t>任何单位和个人不得违反法律法规的规定向黑木耳生产区域内堆置、倾倒或者排放废水、废气、固体废物或者其他有毒有害物质。</w:t>
      </w:r>
    </w:p>
    <w:p w14:paraId="60555764">
      <w:pPr>
        <w:bidi w:val="0"/>
      </w:pPr>
      <w:r>
        <w:rPr>
          <w:rFonts w:hint="eastAsia" w:eastAsia="黑体"/>
          <w:sz w:val="32"/>
          <w:lang w:eastAsia="zh-CN"/>
        </w:rPr>
        <w:t>第二十三条</w:t>
      </w:r>
      <w:r>
        <w:rPr>
          <w:rFonts w:hint="eastAsia"/>
          <w:lang w:eastAsia="zh-CN"/>
        </w:rPr>
        <w:t>　</w:t>
      </w:r>
      <w:r>
        <w:rPr>
          <w:rFonts w:hint="eastAsia"/>
        </w:rPr>
        <w:t>自治州、县（市）人民政府应当建立废弃菌包收储运体系，有效治理废弃菌包造成的环境污染和生态破坏，指导黑木耳栽培主体对废弃菌包进行无害化处置，不能处置的，应当转运到指定的临时堆放点或者处置企业。</w:t>
      </w:r>
    </w:p>
    <w:p w14:paraId="199B954C">
      <w:pPr>
        <w:pStyle w:val="16"/>
        <w:bidi w:val="0"/>
      </w:pPr>
    </w:p>
    <w:p w14:paraId="62D319B8">
      <w:pPr>
        <w:pStyle w:val="5"/>
        <w:bidi w:val="0"/>
      </w:pPr>
      <w:r>
        <w:rPr>
          <w:rFonts w:hint="eastAsia"/>
        </w:rPr>
        <w:t>第四章</w:t>
      </w:r>
      <w:r>
        <w:rPr>
          <w:rFonts w:hint="eastAsia"/>
          <w:lang w:eastAsia="zh-CN"/>
        </w:rPr>
        <w:t>　</w:t>
      </w:r>
      <w:r>
        <w:rPr>
          <w:rFonts w:hint="eastAsia"/>
        </w:rPr>
        <w:t>品牌建设</w:t>
      </w:r>
    </w:p>
    <w:p w14:paraId="47872FF6">
      <w:pPr>
        <w:pStyle w:val="16"/>
        <w:bidi w:val="0"/>
      </w:pPr>
    </w:p>
    <w:p w14:paraId="6D11E52D">
      <w:pPr>
        <w:bidi w:val="0"/>
      </w:pPr>
      <w:r>
        <w:rPr>
          <w:rFonts w:hint="eastAsia" w:eastAsia="黑体"/>
          <w:sz w:val="32"/>
          <w:lang w:eastAsia="zh-CN"/>
        </w:rPr>
        <w:t>第二十四条</w:t>
      </w:r>
      <w:r>
        <w:rPr>
          <w:rFonts w:hint="eastAsia"/>
          <w:lang w:eastAsia="zh-CN"/>
        </w:rPr>
        <w:t>　</w:t>
      </w:r>
      <w:r>
        <w:rPr>
          <w:rFonts w:hint="eastAsia"/>
        </w:rPr>
        <w:t>自治州、县（市）人民政府应当建立健全黑木耳区域公用品牌、企业品牌运行管理制度，加强品牌培育、推介、保护和利用，以品牌建设推动黑木耳产业发展。</w:t>
      </w:r>
    </w:p>
    <w:p w14:paraId="4099379F">
      <w:pPr>
        <w:bidi w:val="0"/>
      </w:pPr>
      <w:r>
        <w:rPr>
          <w:rFonts w:hint="eastAsia" w:eastAsia="黑体"/>
          <w:sz w:val="32"/>
          <w:lang w:eastAsia="zh-CN"/>
        </w:rPr>
        <w:t>第二十五条</w:t>
      </w:r>
      <w:r>
        <w:rPr>
          <w:rFonts w:hint="eastAsia"/>
          <w:lang w:eastAsia="zh-CN"/>
        </w:rPr>
        <w:t>　</w:t>
      </w:r>
      <w:r>
        <w:rPr>
          <w:rFonts w:hint="eastAsia"/>
        </w:rPr>
        <w:t>自治州、县（市）人民政府应当鼓励黑木耳生产经营者使用“延边黑木耳”“汪清黑木耳”“安图黑木耳”地理标志证明商标等区域公用品牌</w:t>
      </w:r>
      <w:r>
        <w:rPr>
          <w:rFonts w:hint="eastAsia"/>
          <w:lang w:eastAsia="zh-CN"/>
        </w:rPr>
        <w:t>，</w:t>
      </w:r>
      <w:r>
        <w:rPr>
          <w:rFonts w:hint="eastAsia"/>
          <w:lang w:val="en-US" w:eastAsia="zh-CN"/>
        </w:rPr>
        <w:t>鼓励开展气候品质认证</w:t>
      </w:r>
      <w:r>
        <w:rPr>
          <w:rFonts w:hint="eastAsia"/>
        </w:rPr>
        <w:t>。</w:t>
      </w:r>
    </w:p>
    <w:p w14:paraId="11637143">
      <w:pPr>
        <w:bidi w:val="0"/>
      </w:pPr>
      <w:r>
        <w:rPr>
          <w:rFonts w:hint="eastAsia"/>
        </w:rPr>
        <w:t>符合地理标志证明商标使用管理规则的黑木耳生产经营者，可申请使用该商标，同时应当履行该证明商标使用管理规则规定的义务。</w:t>
      </w:r>
    </w:p>
    <w:p w14:paraId="10252407">
      <w:pPr>
        <w:bidi w:val="0"/>
      </w:pPr>
      <w:r>
        <w:rPr>
          <w:rFonts w:hint="eastAsia" w:eastAsia="黑体"/>
          <w:sz w:val="32"/>
          <w:lang w:eastAsia="zh-CN"/>
        </w:rPr>
        <w:t>第二十六条</w:t>
      </w:r>
      <w:r>
        <w:rPr>
          <w:rFonts w:hint="eastAsia"/>
          <w:lang w:eastAsia="zh-CN"/>
        </w:rPr>
        <w:t>　</w:t>
      </w:r>
      <w:r>
        <w:rPr>
          <w:rFonts w:hint="eastAsia"/>
        </w:rPr>
        <w:t>地理标志证明商标注册人应当健全完善地理标志证明商标使用管理制度，规范地理标志证明商标的管理和使用，定期评估被许可人的商标使用情况，提高商标专用权的保护能力。</w:t>
      </w:r>
    </w:p>
    <w:p w14:paraId="1585D01F">
      <w:pPr>
        <w:bidi w:val="0"/>
      </w:pPr>
      <w:r>
        <w:rPr>
          <w:rFonts w:hint="eastAsia" w:eastAsia="黑体"/>
          <w:sz w:val="32"/>
          <w:lang w:eastAsia="zh-CN"/>
        </w:rPr>
        <w:t>第二十七条</w:t>
      </w:r>
      <w:r>
        <w:rPr>
          <w:rFonts w:hint="eastAsia"/>
          <w:lang w:eastAsia="zh-CN"/>
        </w:rPr>
        <w:t>　</w:t>
      </w:r>
      <w:r>
        <w:rPr>
          <w:rFonts w:hint="eastAsia"/>
        </w:rPr>
        <w:t>黑木耳生产经营者经权利人授权许可后，在生产、加工的黑木耳及其制品的包装、标签、说明书或者广告宣传载体上应当使用地理标志证明商标、地理标志专用标志。</w:t>
      </w:r>
    </w:p>
    <w:p w14:paraId="224C2FF3">
      <w:pPr>
        <w:bidi w:val="0"/>
      </w:pPr>
      <w:r>
        <w:rPr>
          <w:rFonts w:hint="eastAsia" w:eastAsia="黑体"/>
          <w:sz w:val="32"/>
          <w:lang w:eastAsia="zh-CN"/>
        </w:rPr>
        <w:t>第二十八条</w:t>
      </w:r>
      <w:r>
        <w:rPr>
          <w:rFonts w:hint="eastAsia"/>
          <w:lang w:eastAsia="zh-CN"/>
        </w:rPr>
        <w:t>　</w:t>
      </w:r>
      <w:r>
        <w:rPr>
          <w:rFonts w:hint="eastAsia"/>
        </w:rPr>
        <w:t>鼓励黑木耳生产经营组织开展品牌建设，对获得优秀品牌、食品安全管理体系认证、绿色食品和有机产品等认证的企业，自获批后一年之内予以认证费用补助。</w:t>
      </w:r>
    </w:p>
    <w:p w14:paraId="232F8317">
      <w:pPr>
        <w:bidi w:val="0"/>
      </w:pPr>
      <w:r>
        <w:rPr>
          <w:rFonts w:hint="eastAsia" w:eastAsia="黑体"/>
          <w:sz w:val="32"/>
          <w:lang w:eastAsia="zh-CN"/>
        </w:rPr>
        <w:t>第二十九条</w:t>
      </w:r>
      <w:r>
        <w:rPr>
          <w:rFonts w:hint="eastAsia"/>
          <w:lang w:eastAsia="zh-CN"/>
        </w:rPr>
        <w:t>　</w:t>
      </w:r>
      <w:r>
        <w:rPr>
          <w:rFonts w:hint="eastAsia"/>
        </w:rPr>
        <w:t>鼓励黑木耳生产经营者申请商标国际注册，拓展黑木耳的海外市场保护范围。</w:t>
      </w:r>
    </w:p>
    <w:p w14:paraId="53192409">
      <w:pPr>
        <w:pStyle w:val="16"/>
        <w:bidi w:val="0"/>
      </w:pPr>
    </w:p>
    <w:p w14:paraId="38A6F20E">
      <w:pPr>
        <w:pStyle w:val="5"/>
        <w:bidi w:val="0"/>
      </w:pPr>
      <w:r>
        <w:rPr>
          <w:rFonts w:hint="eastAsia"/>
        </w:rPr>
        <w:t>第五章</w:t>
      </w:r>
      <w:r>
        <w:rPr>
          <w:rFonts w:hint="eastAsia"/>
          <w:lang w:eastAsia="zh-CN"/>
        </w:rPr>
        <w:t>　</w:t>
      </w:r>
      <w:r>
        <w:rPr>
          <w:rFonts w:hint="eastAsia"/>
        </w:rPr>
        <w:t>质量监管</w:t>
      </w:r>
    </w:p>
    <w:p w14:paraId="4B1DABB1">
      <w:pPr>
        <w:pStyle w:val="16"/>
        <w:bidi w:val="0"/>
      </w:pPr>
    </w:p>
    <w:p w14:paraId="03E454C9">
      <w:pPr>
        <w:bidi w:val="0"/>
      </w:pPr>
      <w:r>
        <w:rPr>
          <w:rFonts w:hint="eastAsia" w:eastAsia="黑体"/>
          <w:sz w:val="32"/>
          <w:lang w:eastAsia="zh-CN"/>
        </w:rPr>
        <w:t>第三十条</w:t>
      </w:r>
      <w:r>
        <w:rPr>
          <w:rFonts w:hint="eastAsia"/>
          <w:lang w:eastAsia="zh-CN"/>
        </w:rPr>
        <w:t>　</w:t>
      </w:r>
      <w:r>
        <w:rPr>
          <w:rFonts w:hint="eastAsia"/>
        </w:rPr>
        <w:t>自治州、县（市）人民政府农业农村主管部门应当会同有关部门大力发展数字农业，建立健全黑木耳溯源体系，实现黑木耳及其制品质量安全追溯信息管理。</w:t>
      </w:r>
    </w:p>
    <w:p w14:paraId="18063036">
      <w:pPr>
        <w:bidi w:val="0"/>
      </w:pPr>
      <w:r>
        <w:rPr>
          <w:rFonts w:hint="eastAsia"/>
        </w:rPr>
        <w:t>鼓励黑木耳生产经营者建立黑木耳追溯与查询系统，如实记录黑木耳生产信息，并保存相关凭证。</w:t>
      </w:r>
    </w:p>
    <w:p w14:paraId="326391B6">
      <w:pPr>
        <w:bidi w:val="0"/>
      </w:pPr>
      <w:r>
        <w:rPr>
          <w:rFonts w:hint="eastAsia" w:eastAsia="黑体"/>
          <w:sz w:val="32"/>
          <w:lang w:eastAsia="zh-CN"/>
        </w:rPr>
        <w:t>第三十一条</w:t>
      </w:r>
      <w:r>
        <w:rPr>
          <w:rFonts w:hint="eastAsia"/>
          <w:lang w:eastAsia="zh-CN"/>
        </w:rPr>
        <w:t>　</w:t>
      </w:r>
      <w:r>
        <w:rPr>
          <w:rFonts w:hint="eastAsia"/>
        </w:rPr>
        <w:t>自治州、县（市）人民政府农业农村主管部门及有关部门应当按照各自职责加强对黑木耳菌需物资经营主体、黑木耳菌种企业监督管理。严把原材料、投入品安全关，严厉打击无证生产经营菌种等违法行为。</w:t>
      </w:r>
    </w:p>
    <w:p w14:paraId="4398384F">
      <w:pPr>
        <w:bidi w:val="0"/>
      </w:pPr>
      <w:r>
        <w:rPr>
          <w:rFonts w:hint="eastAsia" w:eastAsia="黑体"/>
          <w:sz w:val="32"/>
          <w:lang w:eastAsia="zh-CN"/>
        </w:rPr>
        <w:t>第三十二条</w:t>
      </w:r>
      <w:r>
        <w:rPr>
          <w:rFonts w:hint="eastAsia"/>
          <w:lang w:eastAsia="zh-CN"/>
        </w:rPr>
        <w:t>　</w:t>
      </w:r>
      <w:r>
        <w:rPr>
          <w:rFonts w:hint="eastAsia"/>
        </w:rPr>
        <w:t>自治州、县（市）人民政府农业农村主管部门、市场监督管理等其他有关部门应当依照国家有关法律法规建立健全黑木耳及其制品质量安全检测体系，至少每年组织一次对黑木耳及其制品抽样检验，并依照有关规定向社会公布检验结果，保障黑木耳及其制品质量安全。</w:t>
      </w:r>
    </w:p>
    <w:p w14:paraId="2FFF45CD">
      <w:pPr>
        <w:bidi w:val="0"/>
      </w:pPr>
      <w:r>
        <w:rPr>
          <w:rFonts w:hint="eastAsia" w:eastAsia="黑体"/>
          <w:sz w:val="32"/>
          <w:lang w:eastAsia="zh-CN"/>
        </w:rPr>
        <w:t>第三十三条</w:t>
      </w:r>
      <w:r>
        <w:rPr>
          <w:rFonts w:hint="eastAsia"/>
          <w:lang w:eastAsia="zh-CN"/>
        </w:rPr>
        <w:t>　</w:t>
      </w:r>
      <w:r>
        <w:rPr>
          <w:rFonts w:hint="eastAsia"/>
        </w:rPr>
        <w:t>黑木耳的生产企业、农民专业合作社应当根据质量安全控制要求自行或者委托具备黑木耳质量检验资质的检验检测机构对黑木耳产品质量安全进行检测。检验检测机构应当按照相关标准和检验规范对黑木耳进行检验，保证出具的检验数据和结论真实、客观、公正。</w:t>
      </w:r>
    </w:p>
    <w:p w14:paraId="6340597D">
      <w:pPr>
        <w:bidi w:val="0"/>
      </w:pPr>
      <w:r>
        <w:rPr>
          <w:rFonts w:hint="eastAsia" w:eastAsia="黑体"/>
          <w:sz w:val="32"/>
          <w:lang w:eastAsia="zh-CN"/>
        </w:rPr>
        <w:t>第三十四条</w:t>
      </w:r>
      <w:r>
        <w:rPr>
          <w:rFonts w:hint="eastAsia"/>
          <w:lang w:eastAsia="zh-CN"/>
        </w:rPr>
        <w:t>　</w:t>
      </w:r>
      <w:r>
        <w:rPr>
          <w:rFonts w:hint="eastAsia"/>
        </w:rPr>
        <w:t>自治州、县（市）人民政府市场监督管理部门应当加强对地理标志证明商标、地理标志专用标志以及其他黑木耳产品注册商标的保护，依法查处侵犯注册商标专用权、违规使用地理标志专用标志以及制售假冒伪劣产品的行为，推动开展线上线下一体化执法、跨区域执法协作与维权援助，维护黑木耳市场秩序，保护消费者和黑木耳生产经营者的合法权益。</w:t>
      </w:r>
    </w:p>
    <w:p w14:paraId="7D8EB64A">
      <w:pPr>
        <w:bidi w:val="0"/>
      </w:pPr>
      <w:r>
        <w:rPr>
          <w:rFonts w:hint="eastAsia" w:eastAsia="黑体"/>
          <w:sz w:val="32"/>
          <w:lang w:eastAsia="zh-CN"/>
        </w:rPr>
        <w:t>第三十五条</w:t>
      </w:r>
      <w:r>
        <w:rPr>
          <w:rFonts w:hint="eastAsia"/>
          <w:lang w:eastAsia="zh-CN"/>
        </w:rPr>
        <w:t>　</w:t>
      </w:r>
      <w:r>
        <w:rPr>
          <w:rFonts w:hint="eastAsia"/>
        </w:rPr>
        <w:t>自治州、县（市）人民政府农业农村主管部门应当建立黑木耳及其制品综合信息发布平台，定期向社会发布信息，提供资讯服务。</w:t>
      </w:r>
    </w:p>
    <w:p w14:paraId="785EBFDC">
      <w:pPr>
        <w:pStyle w:val="16"/>
        <w:bidi w:val="0"/>
      </w:pPr>
    </w:p>
    <w:p w14:paraId="4580094E">
      <w:pPr>
        <w:pStyle w:val="5"/>
        <w:bidi w:val="0"/>
      </w:pPr>
      <w:r>
        <w:rPr>
          <w:rFonts w:hint="eastAsia"/>
        </w:rPr>
        <w:t>第六章</w:t>
      </w:r>
      <w:r>
        <w:rPr>
          <w:rFonts w:hint="eastAsia"/>
          <w:lang w:eastAsia="zh-CN"/>
        </w:rPr>
        <w:t>　</w:t>
      </w:r>
      <w:r>
        <w:rPr>
          <w:rFonts w:hint="eastAsia"/>
        </w:rPr>
        <w:t>法律责任</w:t>
      </w:r>
    </w:p>
    <w:p w14:paraId="5D1DA4E3">
      <w:pPr>
        <w:pStyle w:val="16"/>
        <w:bidi w:val="0"/>
      </w:pPr>
    </w:p>
    <w:p w14:paraId="5F35040C">
      <w:pPr>
        <w:bidi w:val="0"/>
      </w:pPr>
      <w:r>
        <w:rPr>
          <w:rFonts w:hint="eastAsia" w:eastAsia="黑体"/>
          <w:sz w:val="32"/>
          <w:lang w:eastAsia="zh-CN"/>
        </w:rPr>
        <w:t>第三十六条</w:t>
      </w:r>
      <w:r>
        <w:rPr>
          <w:rFonts w:hint="eastAsia"/>
          <w:lang w:eastAsia="zh-CN"/>
        </w:rPr>
        <w:t>　</w:t>
      </w:r>
      <w:r>
        <w:rPr>
          <w:rFonts w:hint="eastAsia"/>
        </w:rPr>
        <w:t>违反本条例规定的行为，有关法律法规已有法律责任规定的，从其规定。</w:t>
      </w:r>
    </w:p>
    <w:p w14:paraId="418C08E5">
      <w:pPr>
        <w:bidi w:val="0"/>
      </w:pPr>
      <w:r>
        <w:rPr>
          <w:rFonts w:hint="eastAsia" w:eastAsia="黑体"/>
          <w:sz w:val="32"/>
          <w:lang w:eastAsia="zh-CN"/>
        </w:rPr>
        <w:t>第三十七条</w:t>
      </w:r>
      <w:r>
        <w:rPr>
          <w:rFonts w:hint="eastAsia"/>
          <w:lang w:eastAsia="zh-CN"/>
        </w:rPr>
        <w:t>　</w:t>
      </w:r>
      <w:r>
        <w:rPr>
          <w:rFonts w:hint="eastAsia"/>
        </w:rPr>
        <w:t>有关部门及其工作人员在黑木耳产业发展工作中滥用职权、玩忽职守、徇私舞弊的，依法给予处分；构成犯罪的，依法追究刑事责任。</w:t>
      </w:r>
    </w:p>
    <w:p w14:paraId="1ACA8FAC">
      <w:pPr>
        <w:pStyle w:val="16"/>
        <w:bidi w:val="0"/>
      </w:pPr>
    </w:p>
    <w:p w14:paraId="356B8FB5">
      <w:pPr>
        <w:pStyle w:val="5"/>
        <w:bidi w:val="0"/>
      </w:pPr>
      <w:r>
        <w:rPr>
          <w:rFonts w:hint="eastAsia"/>
        </w:rPr>
        <w:t>第七章</w:t>
      </w:r>
      <w:r>
        <w:rPr>
          <w:rFonts w:hint="eastAsia"/>
          <w:lang w:eastAsia="zh-CN"/>
        </w:rPr>
        <w:t>　</w:t>
      </w:r>
      <w:r>
        <w:rPr>
          <w:rFonts w:hint="eastAsia"/>
        </w:rPr>
        <w:t>附</w:t>
      </w:r>
      <w:r>
        <w:rPr>
          <w:rFonts w:hint="eastAsia"/>
          <w:lang w:eastAsia="zh-CN"/>
        </w:rPr>
        <w:t>　　</w:t>
      </w:r>
      <w:r>
        <w:rPr>
          <w:rFonts w:hint="eastAsia"/>
        </w:rPr>
        <w:t>则</w:t>
      </w:r>
    </w:p>
    <w:p w14:paraId="3D93E28F">
      <w:pPr>
        <w:pStyle w:val="16"/>
        <w:bidi w:val="0"/>
      </w:pPr>
    </w:p>
    <w:p w14:paraId="71E7DFF6">
      <w:pPr>
        <w:bidi w:val="0"/>
        <w:rPr>
          <w:rFonts w:hint="eastAsia"/>
          <w:lang w:eastAsia="zh-CN"/>
        </w:rPr>
      </w:pPr>
      <w:r>
        <w:rPr>
          <w:rFonts w:hint="eastAsia" w:eastAsia="黑体"/>
          <w:sz w:val="32"/>
          <w:lang w:eastAsia="zh-CN"/>
        </w:rPr>
        <w:t>第三十八条</w:t>
      </w:r>
      <w:r>
        <w:rPr>
          <w:rFonts w:hint="eastAsia"/>
          <w:lang w:eastAsia="zh-CN"/>
        </w:rPr>
        <w:t>　</w:t>
      </w:r>
      <w:r>
        <w:rPr>
          <w:rFonts w:hint="eastAsia"/>
        </w:rPr>
        <w:t>本条例由延边朝鲜族自治州人民代表大会常务委员会负责解释。</w:t>
      </w:r>
    </w:p>
    <w:p w14:paraId="09A5DD1B">
      <w:pPr>
        <w:bidi w:val="0"/>
        <w:rPr>
          <w:rFonts w:hint="eastAsia"/>
        </w:rPr>
      </w:pPr>
      <w:r>
        <w:rPr>
          <w:rFonts w:hint="eastAsia" w:eastAsia="黑体"/>
          <w:sz w:val="32"/>
          <w:lang w:eastAsia="zh-CN"/>
        </w:rPr>
        <w:t>第三十九条</w:t>
      </w:r>
      <w:r>
        <w:rPr>
          <w:rFonts w:hint="eastAsia"/>
          <w:lang w:eastAsia="zh-CN"/>
        </w:rPr>
        <w:t>　</w:t>
      </w:r>
      <w:r>
        <w:rPr>
          <w:rFonts w:hint="eastAsia"/>
        </w:rPr>
        <w:t>本条例自公布之日起施行。</w:t>
      </w:r>
    </w:p>
    <w:p w14:paraId="79B017B6">
      <w:pPr>
        <w:bidi w:val="0"/>
        <w:rPr>
          <w:rFonts w:hint="eastAsia"/>
        </w:rPr>
      </w:pPr>
    </w:p>
    <w:p w14:paraId="7B170DE9">
      <w:pPr>
        <w:bidi w:val="0"/>
        <w:rPr>
          <w:rFonts w:hint="eastAsia"/>
          <w:lang w:val="en-US" w:eastAsia="zh-CN"/>
        </w:rPr>
      </w:pPr>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440728">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34C678C">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334C678C">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754A86">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C32C8C3">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7C32C8C3">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2YzU3OGEzYzE4N2Q4NzRjYjliYjM1OTk3NzMwZWQ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F2906"/>
    <w:rsid w:val="11E4354D"/>
    <w:rsid w:val="125C6E10"/>
    <w:rsid w:val="14515052"/>
    <w:rsid w:val="14CA6F93"/>
    <w:rsid w:val="14E76398"/>
    <w:rsid w:val="151350A2"/>
    <w:rsid w:val="16DC7373"/>
    <w:rsid w:val="17E51656"/>
    <w:rsid w:val="183C74C7"/>
    <w:rsid w:val="1B8F60DE"/>
    <w:rsid w:val="1D291CFB"/>
    <w:rsid w:val="1D4F618B"/>
    <w:rsid w:val="205E01F7"/>
    <w:rsid w:val="21AA3D09"/>
    <w:rsid w:val="21D74D73"/>
    <w:rsid w:val="220A23E4"/>
    <w:rsid w:val="234806C1"/>
    <w:rsid w:val="25973F8F"/>
    <w:rsid w:val="26EE0409"/>
    <w:rsid w:val="27C34B9E"/>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FEA0D08"/>
    <w:rsid w:val="40302BBE"/>
    <w:rsid w:val="42B2200A"/>
    <w:rsid w:val="42F57D79"/>
    <w:rsid w:val="4499567F"/>
    <w:rsid w:val="44C164DB"/>
    <w:rsid w:val="47C979DB"/>
    <w:rsid w:val="481351D2"/>
    <w:rsid w:val="4860600B"/>
    <w:rsid w:val="4D95447C"/>
    <w:rsid w:val="50EB007B"/>
    <w:rsid w:val="53543565"/>
    <w:rsid w:val="546D287C"/>
    <w:rsid w:val="557D644E"/>
    <w:rsid w:val="558A062C"/>
    <w:rsid w:val="56345682"/>
    <w:rsid w:val="58C3686E"/>
    <w:rsid w:val="59F36CDF"/>
    <w:rsid w:val="5B9F227D"/>
    <w:rsid w:val="5FD73625"/>
    <w:rsid w:val="61D729C7"/>
    <w:rsid w:val="622F12CF"/>
    <w:rsid w:val="62F51D1A"/>
    <w:rsid w:val="64596ABE"/>
    <w:rsid w:val="653E08AD"/>
    <w:rsid w:val="6B7D6667"/>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4">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5">
    <w:name w:val="heading 3"/>
    <w:basedOn w:val="1"/>
    <w:next w:val="1"/>
    <w:unhideWhenUsed/>
    <w:qFormat/>
    <w:uiPriority w:val="9"/>
    <w:pPr>
      <w:keepNext/>
      <w:keepLines/>
      <w:spacing w:line="240" w:lineRule="auto"/>
      <w:ind w:firstLine="0" w:firstLineChars="0"/>
      <w:jc w:val="center"/>
      <w:outlineLvl w:val="2"/>
    </w:pPr>
    <w:rPr>
      <w:rFonts w:ascii="Times New Roman" w:hAnsi="Times New Roman" w:eastAsia="黑体"/>
      <w:bCs/>
      <w:szCs w:val="32"/>
    </w:rPr>
  </w:style>
  <w:style w:type="paragraph" w:styleId="6">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2">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2">
    <w:name w:val="Body Text Indent"/>
    <w:basedOn w:val="1"/>
    <w:qFormat/>
    <w:uiPriority w:val="0"/>
    <w:pPr>
      <w:ind w:left="420" w:leftChars="200"/>
    </w:pPr>
  </w:style>
  <w:style w:type="paragraph" w:styleId="7">
    <w:name w:val="Body Text"/>
    <w:basedOn w:val="1"/>
    <w:next w:val="8"/>
    <w:qFormat/>
    <w:uiPriority w:val="0"/>
    <w:pPr>
      <w:spacing w:after="120"/>
    </w:pPr>
    <w:rPr>
      <w:rFonts w:ascii="Calibri" w:hAnsi="Calibri"/>
    </w:rPr>
  </w:style>
  <w:style w:type="paragraph" w:styleId="8">
    <w:name w:val="Body Text First Indent"/>
    <w:basedOn w:val="7"/>
    <w:qFormat/>
    <w:uiPriority w:val="0"/>
    <w:pPr>
      <w:ind w:firstLine="420" w:firstLineChars="100"/>
    </w:pPr>
    <w:rPr>
      <w:rFonts w:ascii="Times New Roman" w:hAnsi="Times New Roman"/>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3">
    <w:name w:val="ab-法规题注"/>
    <w:basedOn w:val="1"/>
    <w:qFormat/>
    <w:uiPriority w:val="0"/>
    <w:pPr>
      <w:ind w:left="632" w:leftChars="200" w:right="632" w:rightChars="200"/>
    </w:pPr>
    <w:rPr>
      <w:rFonts w:eastAsia="楷体_GB2312"/>
    </w:rPr>
  </w:style>
  <w:style w:type="paragraph" w:customStyle="1" w:styleId="14">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5">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6">
    <w:name w:val="af-法规空行"/>
    <w:basedOn w:val="1"/>
    <w:next w:val="1"/>
    <w:qFormat/>
    <w:uiPriority w:val="0"/>
    <w:pPr>
      <w:ind w:firstLine="0" w:firstLineChars="0"/>
    </w:pPr>
    <w:rPr>
      <w:rFonts w:hint="eastAsia" w:ascii="Times New Roman" w:hAnsi="Times New Roman" w:eastAsia="宋体"/>
    </w:rPr>
  </w:style>
  <w:style w:type="paragraph" w:customStyle="1" w:styleId="17">
    <w:name w:val="ae-法规目录列表节"/>
    <w:basedOn w:val="1"/>
    <w:qFormat/>
    <w:uiPriority w:val="0"/>
    <w:pPr>
      <w:ind w:left="2528" w:leftChars="400" w:right="1264" w:rightChars="400" w:hanging="1264" w:hanging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9</Pages>
  <Words>3547</Words>
  <Characters>3555</Characters>
  <Lines>0</Lines>
  <Paragraphs>0</Paragraphs>
  <TotalTime>10</TotalTime>
  <ScaleCrop>false</ScaleCrop>
  <LinksUpToDate>false</LinksUpToDate>
  <CharactersWithSpaces>3620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晓涵</cp:lastModifiedBy>
  <dcterms:modified xsi:type="dcterms:W3CDTF">2024-08-28T08:21:35Z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E3EA9117C267493EA71CD998376D7C4E_13</vt:lpwstr>
  </property>
  <property fmtid="{D5CDD505-2E9C-101B-9397-08002B2CF9AE}" pid="3" name="KSOProductBuildVer">
    <vt:lpwstr>2052-12.1.0.17827</vt:lpwstr>
  </property>
</Properties>
</file>