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张家界市人民代表大会及其常务委员会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制定地方性法规条例</w:t>
      </w:r>
    </w:p>
    <w:p>
      <w:pPr>
        <w:spacing w:line="560" w:lineRule="exact"/>
        <w:jc w:val="center"/>
        <w:rPr>
          <w:rFonts w:hint="eastAsia" w:ascii="楷体_GB2312" w:hAnsi="楷体_GB2312" w:eastAsia="楷体_GB2312" w:cs="楷体_GB2312"/>
          <w:bCs/>
          <w:color w:val="000000" w:themeColor="text1"/>
          <w:sz w:val="32"/>
          <w:szCs w:val="32"/>
          <w:highlight w:val="whit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firstLine="0" w:firstLineChars="0"/>
        <w:jc w:val="both"/>
        <w:textAlignment w:val="auto"/>
        <w:outlineLvl w:val="9"/>
        <w:rPr>
          <w:rFonts w:hint="eastAsia" w:ascii="楷体_GB2312" w:hAnsi="楷体_GB2312" w:eastAsia="楷体_GB2312" w:cs="楷体_GB2312"/>
          <w:bCs/>
          <w:color w:val="000000" w:themeColor="text1"/>
          <w:spacing w:val="0"/>
          <w:sz w:val="32"/>
          <w:szCs w:val="32"/>
          <w:highlight w:val="white"/>
          <w14:textFill>
            <w14:solidFill>
              <w14:schemeClr w14:val="tx1"/>
            </w14:solidFill>
          </w14:textFill>
        </w:rPr>
      </w:pPr>
      <w:r>
        <w:rPr>
          <w:rFonts w:hint="eastAsia" w:ascii="楷体_GB2312" w:hAnsi="楷体_GB2312" w:eastAsia="楷体_GB2312" w:cs="楷体_GB2312"/>
          <w:bCs/>
          <w:color w:val="000000" w:themeColor="text1"/>
          <w:spacing w:val="0"/>
          <w:sz w:val="32"/>
          <w:szCs w:val="32"/>
          <w:highlight w:val="white"/>
          <w14:textFill>
            <w14:solidFill>
              <w14:schemeClr w14:val="tx1"/>
            </w14:solidFill>
          </w14:textFill>
        </w:rPr>
        <w:t>（20</w:t>
      </w:r>
      <w:r>
        <w:rPr>
          <w:rFonts w:ascii="楷体_GB2312" w:hAnsi="楷体_GB2312" w:eastAsia="楷体_GB2312" w:cs="楷体_GB2312"/>
          <w:bCs/>
          <w:color w:val="000000" w:themeColor="text1"/>
          <w:spacing w:val="0"/>
          <w:sz w:val="32"/>
          <w:szCs w:val="32"/>
          <w:highlight w:val="white"/>
          <w14:textFill>
            <w14:solidFill>
              <w14:schemeClr w14:val="tx1"/>
            </w14:solidFill>
          </w14:textFill>
        </w:rPr>
        <w:t>20</w:t>
      </w:r>
      <w:r>
        <w:rPr>
          <w:rFonts w:hint="eastAsia" w:ascii="楷体_GB2312" w:hAnsi="楷体_GB2312" w:eastAsia="楷体_GB2312" w:cs="楷体_GB2312"/>
          <w:bCs/>
          <w:color w:val="000000" w:themeColor="text1"/>
          <w:spacing w:val="0"/>
          <w:sz w:val="32"/>
          <w:szCs w:val="32"/>
          <w:highlight w:val="white"/>
          <w14:textFill>
            <w14:solidFill>
              <w14:schemeClr w14:val="tx1"/>
            </w14:solidFill>
          </w14:textFill>
        </w:rPr>
        <w:t>年1月</w:t>
      </w:r>
      <w:r>
        <w:rPr>
          <w:rFonts w:ascii="楷体_GB2312" w:hAnsi="楷体_GB2312" w:eastAsia="楷体_GB2312" w:cs="楷体_GB2312"/>
          <w:bCs/>
          <w:color w:val="000000" w:themeColor="text1"/>
          <w:spacing w:val="0"/>
          <w:sz w:val="32"/>
          <w:szCs w:val="32"/>
          <w:highlight w:val="white"/>
          <w14:textFill>
            <w14:solidFill>
              <w14:schemeClr w14:val="tx1"/>
            </w14:solidFill>
          </w14:textFill>
        </w:rPr>
        <w:t>8</w:t>
      </w:r>
      <w:r>
        <w:rPr>
          <w:rFonts w:hint="eastAsia" w:ascii="楷体_GB2312" w:hAnsi="楷体_GB2312" w:eastAsia="楷体_GB2312" w:cs="楷体_GB2312"/>
          <w:bCs/>
          <w:color w:val="000000" w:themeColor="text1"/>
          <w:spacing w:val="0"/>
          <w:sz w:val="32"/>
          <w:szCs w:val="32"/>
          <w:highlight w:val="white"/>
          <w14:textFill>
            <w14:solidFill>
              <w14:schemeClr w14:val="tx1"/>
            </w14:solidFill>
          </w14:textFill>
        </w:rPr>
        <w:t>日经张家界市第七届人民代表大会第四次会议通过</w:t>
      </w:r>
      <w:r>
        <w:rPr>
          <w:rFonts w:hint="eastAsia" w:ascii="楷体_GB2312" w:hAnsi="楷体_GB2312" w:eastAsia="楷体_GB2312" w:cs="楷体_GB2312"/>
          <w:bCs/>
          <w:color w:val="000000" w:themeColor="text1"/>
          <w:spacing w:val="0"/>
          <w:sz w:val="32"/>
          <w:szCs w:val="32"/>
          <w14:textFill>
            <w14:solidFill>
              <w14:schemeClr w14:val="tx1"/>
            </w14:solidFill>
          </w14:textFill>
        </w:rPr>
        <w:t xml:space="preserve">  20</w:t>
      </w:r>
      <w:r>
        <w:rPr>
          <w:rFonts w:ascii="楷体_GB2312" w:hAnsi="楷体_GB2312" w:eastAsia="楷体_GB2312" w:cs="楷体_GB2312"/>
          <w:bCs/>
          <w:color w:val="000000" w:themeColor="text1"/>
          <w:spacing w:val="0"/>
          <w:sz w:val="32"/>
          <w:szCs w:val="32"/>
          <w14:textFill>
            <w14:solidFill>
              <w14:schemeClr w14:val="tx1"/>
            </w14:solidFill>
          </w14:textFill>
        </w:rPr>
        <w:t>20</w:t>
      </w:r>
      <w:r>
        <w:rPr>
          <w:rFonts w:hint="eastAsia" w:ascii="楷体_GB2312" w:hAnsi="楷体_GB2312" w:eastAsia="楷体_GB2312" w:cs="楷体_GB2312"/>
          <w:bCs/>
          <w:color w:val="000000" w:themeColor="text1"/>
          <w:spacing w:val="0"/>
          <w:sz w:val="32"/>
          <w:szCs w:val="32"/>
          <w14:textFill>
            <w14:solidFill>
              <w14:schemeClr w14:val="tx1"/>
            </w14:solidFill>
          </w14:textFill>
        </w:rPr>
        <w:t>年</w:t>
      </w:r>
      <w:r>
        <w:rPr>
          <w:rFonts w:ascii="楷体_GB2312" w:hAnsi="楷体_GB2312" w:eastAsia="楷体_GB2312" w:cs="楷体_GB2312"/>
          <w:bCs/>
          <w:color w:val="000000" w:themeColor="text1"/>
          <w:spacing w:val="0"/>
          <w:sz w:val="32"/>
          <w:szCs w:val="32"/>
          <w14:textFill>
            <w14:solidFill>
              <w14:schemeClr w14:val="tx1"/>
            </w14:solidFill>
          </w14:textFill>
        </w:rPr>
        <w:t>3</w:t>
      </w:r>
      <w:r>
        <w:rPr>
          <w:rFonts w:hint="eastAsia" w:ascii="楷体_GB2312" w:hAnsi="楷体_GB2312" w:eastAsia="楷体_GB2312" w:cs="楷体_GB2312"/>
          <w:bCs/>
          <w:color w:val="000000" w:themeColor="text1"/>
          <w:spacing w:val="0"/>
          <w:sz w:val="32"/>
          <w:szCs w:val="32"/>
          <w14:textFill>
            <w14:solidFill>
              <w14:schemeClr w14:val="tx1"/>
            </w14:solidFill>
          </w14:textFill>
        </w:rPr>
        <w:t>月</w:t>
      </w:r>
      <w:r>
        <w:rPr>
          <w:rFonts w:ascii="楷体_GB2312" w:hAnsi="楷体_GB2312" w:eastAsia="楷体_GB2312" w:cs="楷体_GB2312"/>
          <w:bCs/>
          <w:color w:val="000000" w:themeColor="text1"/>
          <w:spacing w:val="0"/>
          <w:sz w:val="32"/>
          <w:szCs w:val="32"/>
          <w14:textFill>
            <w14:solidFill>
              <w14:schemeClr w14:val="tx1"/>
            </w14:solidFill>
          </w14:textFill>
        </w:rPr>
        <w:t>31</w:t>
      </w:r>
      <w:r>
        <w:rPr>
          <w:rFonts w:hint="eastAsia" w:ascii="楷体_GB2312" w:hAnsi="楷体_GB2312" w:eastAsia="楷体_GB2312" w:cs="楷体_GB2312"/>
          <w:bCs/>
          <w:color w:val="000000" w:themeColor="text1"/>
          <w:spacing w:val="0"/>
          <w:sz w:val="32"/>
          <w:szCs w:val="32"/>
          <w14:textFill>
            <w14:solidFill>
              <w14:schemeClr w14:val="tx1"/>
            </w14:solidFill>
          </w14:textFill>
        </w:rPr>
        <w:t>日经湖南省第十三届人民代表大会常务委员会第十六次会议批准</w:t>
      </w:r>
      <w:r>
        <w:rPr>
          <w:rFonts w:hint="eastAsia" w:ascii="楷体_GB2312" w:hAnsi="楷体_GB2312" w:eastAsia="楷体_GB2312" w:cs="楷体_GB2312"/>
          <w:bCs/>
          <w:color w:val="000000" w:themeColor="text1"/>
          <w:spacing w:val="0"/>
          <w:sz w:val="32"/>
          <w:szCs w:val="32"/>
          <w:highlight w:val="white"/>
          <w14:textFill>
            <w14:solidFill>
              <w14:schemeClr w14:val="tx1"/>
            </w14:solidFill>
          </w14:textFill>
        </w:rPr>
        <w:t>）</w:t>
      </w:r>
    </w:p>
    <w:p>
      <w:pPr>
        <w:spacing w:line="560" w:lineRule="exact"/>
        <w:jc w:val="center"/>
        <w:rPr>
          <w:rFonts w:hint="eastAsia" w:ascii="黑体" w:hAnsi="黑体" w:eastAsia="黑体" w:cs="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目　　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第一章　总则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第二章　市人民代表大会制定地方性法规程序</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第三章　市人民代表大会常务委员会制定地方性法规程序</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第四章  地方性法规的报批、公布、解释 </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第五章  其他规定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0" w:lineRule="exact"/>
        <w:ind w:left="0" w:leftChars="0" w:right="0" w:rightChars="0" w:firstLine="640"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5"/>
          <w:sz w:val="32"/>
          <w:szCs w:val="32"/>
          <w14:textFill>
            <w14:solidFill>
              <w14:schemeClr w14:val="tx1"/>
            </w14:solidFill>
          </w14:textFill>
        </w:rPr>
      </w:pPr>
      <w:r>
        <w:rPr>
          <w:rFonts w:hint="eastAsia" w:ascii="黑体" w:hAnsi="黑体" w:eastAsia="黑体" w:cs="黑体"/>
          <w:bCs/>
          <w:color w:val="000000" w:themeColor="text1"/>
          <w:sz w:val="32"/>
          <w:szCs w:val="32"/>
          <w14:textFill>
            <w14:solidFill>
              <w14:schemeClr w14:val="tx1"/>
            </w14:solidFill>
          </w14:textFill>
        </w:rPr>
        <w:t>第一条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为</w:t>
      </w:r>
      <w:r>
        <w:rPr>
          <w:rFonts w:hint="eastAsia" w:ascii="仿宋_GB2312" w:hAnsi="仿宋_GB2312" w:eastAsia="仿宋_GB2312" w:cs="仿宋_GB2312"/>
          <w:color w:val="000000" w:themeColor="text1"/>
          <w:spacing w:val="-5"/>
          <w:sz w:val="32"/>
          <w:szCs w:val="32"/>
          <w14:textFill>
            <w14:solidFill>
              <w14:schemeClr w14:val="tx1"/>
            </w14:solidFill>
          </w14:textFill>
        </w:rPr>
        <w:t>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地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6"/>
          <w:sz w:val="32"/>
          <w:szCs w:val="32"/>
          <w14:textFill>
            <w14:solidFill>
              <w14:schemeClr w14:val="tx1"/>
            </w14:solidFill>
          </w14:textFill>
        </w:rPr>
      </w:pPr>
      <w:r>
        <w:rPr>
          <w:rFonts w:hint="eastAsia" w:ascii="黑体" w:hAnsi="黑体" w:eastAsia="黑体" w:cs="黑体"/>
          <w:bCs/>
          <w:color w:val="000000" w:themeColor="text1"/>
          <w:sz w:val="32"/>
          <w:szCs w:val="32"/>
          <w14:textFill>
            <w14:solidFill>
              <w14:schemeClr w14:val="tx1"/>
            </w14:solidFill>
          </w14:textFill>
        </w:rPr>
        <w:t>第二条</w:t>
      </w:r>
      <w:r>
        <w:rPr>
          <w:rFonts w:hint="eastAsia" w:ascii="仿宋_GB2312" w:hAnsi="仿宋_GB2312" w:eastAsia="仿宋_GB2312" w:cs="仿宋_GB2312"/>
          <w:b/>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pacing w:val="-6"/>
          <w:sz w:val="32"/>
          <w:szCs w:val="32"/>
          <w14:textFill>
            <w14:solidFill>
              <w14:schemeClr w14:val="tx1"/>
            </w14:solidFill>
          </w14:textFill>
        </w:rPr>
        <w:t>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Cs/>
          <w:color w:val="000000" w:themeColor="text1"/>
          <w:sz w:val="32"/>
          <w:szCs w:val="32"/>
          <w14:textFill>
            <w14:solidFill>
              <w14:schemeClr w14:val="tx1"/>
            </w14:solidFill>
          </w14:textFill>
        </w:rPr>
        <w:t>第三条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 xml:space="preserve">市人民代表大会及其常务委员会根据本市的具体情况和实际需要，在不同宪法、法律、行政法规和本省地方性法规相抵触的前提下，可以对城乡建设与管理、环境保护、历史文化保护等方面的事项制定地方性法规。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596" w:firstLineChars="200"/>
        <w:textAlignment w:val="auto"/>
        <w:outlineLvl w:val="9"/>
        <w:rPr>
          <w:rFonts w:hint="eastAsia" w:ascii="仿宋_GB2312" w:hAnsi="仿宋_GB2312" w:eastAsia="仿宋_GB2312" w:cs="仿宋_GB2312"/>
          <w:color w:val="000000" w:themeColor="text1"/>
          <w:spacing w:val="-11"/>
          <w:sz w:val="32"/>
          <w:szCs w:val="32"/>
          <w14:textFill>
            <w14:solidFill>
              <w14:schemeClr w14:val="tx1"/>
            </w14:solidFill>
          </w14:textFill>
        </w:rPr>
      </w:pPr>
      <w:r>
        <w:rPr>
          <w:rFonts w:hint="eastAsia" w:ascii="仿宋_GB2312" w:hAnsi="仿宋_GB2312" w:eastAsia="仿宋_GB2312" w:cs="仿宋_GB2312"/>
          <w:color w:val="000000" w:themeColor="text1"/>
          <w:spacing w:val="-11"/>
          <w:sz w:val="32"/>
          <w:szCs w:val="32"/>
          <w14:textFill>
            <w14:solidFill>
              <w14:schemeClr w14:val="tx1"/>
            </w14:solidFill>
          </w14:textFill>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制定地方性法规，应当坚持中国共产党的领导，遵循《中华人民共和国立法法》规定的基本原则，坚持不抵触、有特色、可操作。对上位法已经明确规定的内容，一般不作重复性规定。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规定本市特别重大事项的地方性法规，应当由市人民代表大会制定。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5"/>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第七条　</w:t>
      </w:r>
      <w:r>
        <w:rPr>
          <w:rFonts w:hint="eastAsia" w:ascii="仿宋_GB2312" w:hAnsi="仿宋_GB2312" w:eastAsia="仿宋_GB2312" w:cs="仿宋_GB2312"/>
          <w:color w:val="000000" w:themeColor="text1"/>
          <w:spacing w:val="-5"/>
          <w:sz w:val="32"/>
          <w:szCs w:val="32"/>
          <w14:textFill>
            <w14:solidFill>
              <w14:schemeClr w14:val="tx1"/>
            </w14:solidFill>
          </w14:textFill>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5"/>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第八条　</w:t>
      </w:r>
      <w:r>
        <w:rPr>
          <w:rFonts w:hint="eastAsia" w:ascii="仿宋_GB2312" w:hAnsi="仿宋_GB2312" w:eastAsia="仿宋_GB2312" w:cs="仿宋_GB2312"/>
          <w:color w:val="000000" w:themeColor="text1"/>
          <w:spacing w:val="-5"/>
          <w:sz w:val="32"/>
          <w:szCs w:val="32"/>
          <w14:textFill>
            <w14:solidFill>
              <w14:schemeClr w14:val="tx1"/>
            </w14:solidFill>
          </w14:textFill>
        </w:rPr>
        <w:t xml:space="preserve">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5"/>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第九条　</w:t>
      </w:r>
      <w:r>
        <w:rPr>
          <w:rFonts w:hint="eastAsia" w:ascii="仿宋_GB2312" w:hAnsi="仿宋_GB2312" w:eastAsia="仿宋_GB2312" w:cs="仿宋_GB2312"/>
          <w:color w:val="000000" w:themeColor="text1"/>
          <w:spacing w:val="-5"/>
          <w:sz w:val="32"/>
          <w:szCs w:val="32"/>
          <w14:textFill>
            <w14:solidFill>
              <w14:schemeClr w14:val="tx1"/>
            </w14:solidFill>
          </w14:textFill>
        </w:rPr>
        <w:t>常务委员会决定提请市人民代表大会会议审议的地方性法规案，应当在会议举行的三十日前将法规草案发给代表。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第十一条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第十二条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 w:hAnsi="仿宋" w:eastAsia="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r>
        <w:rPr>
          <w:rFonts w:hint="eastAsia" w:ascii="仿宋" w:hAnsi="仿宋" w:eastAsia="仿宋"/>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第三章  市人民代表大会常务委员会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制定地方性法规程序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9"/>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pacing w:val="-9"/>
          <w:sz w:val="32"/>
          <w:szCs w:val="32"/>
          <w14:textFill>
            <w14:solidFill>
              <w14:schemeClr w14:val="tx1"/>
            </w14:solidFill>
          </w14:textFill>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 w:hAnsi="仿宋" w:eastAsia="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市人民代表大会主席团交市人民代表大会常务委员会审议的地方性法规案，由主任会议决定列入常务委员会会议议程。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第二十条　</w:t>
      </w:r>
      <w:r>
        <w:rPr>
          <w:rFonts w:hint="eastAsia" w:ascii="仿宋_GB2312" w:hAnsi="仿宋_GB2312" w:eastAsia="仿宋_GB2312" w:cs="仿宋_GB2312"/>
          <w:color w:val="000000" w:themeColor="text1"/>
          <w:sz w:val="32"/>
          <w:szCs w:val="32"/>
          <w14:textFill>
            <w14:solidFill>
              <w14:schemeClr w14:val="tx1"/>
            </w14:solidFill>
          </w14:textFill>
        </w:rPr>
        <w:t>提请市人民代表大会常务委员会会议审议的地方性法规案，提案人一般应当在会议举行的十日前向常务委员会提出。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列入常务委员会会议议程的地方性法规案，一般应当在会议举行的七日前将法规草案、法规草案说明及有关资料发送给常务委员会组成人员。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常务委员会会议第一次审议地方性法规案，在全体会议上听取提案人的说明</w:t>
      </w:r>
      <w:r>
        <w:rPr>
          <w:rFonts w:hint="eastAsia" w:ascii="仿宋_GB2312" w:hAnsi="仿宋_GB2312" w:eastAsia="仿宋_GB2312" w:cs="仿宋_GB2312"/>
          <w:bCs/>
          <w:color w:val="000000" w:themeColor="text1"/>
          <w:sz w:val="32"/>
          <w:szCs w:val="32"/>
          <w14:textFill>
            <w14:solidFill>
              <w14:schemeClr w14:val="tx1"/>
            </w14:solidFill>
          </w14:textFill>
        </w:rPr>
        <w:t>和专门委员会审议意见的报告</w:t>
      </w:r>
      <w:r>
        <w:rPr>
          <w:rFonts w:hint="eastAsia" w:ascii="仿宋_GB2312" w:hAnsi="仿宋_GB2312" w:eastAsia="仿宋_GB2312" w:cs="仿宋_GB2312"/>
          <w:color w:val="000000" w:themeColor="text1"/>
          <w:sz w:val="32"/>
          <w:szCs w:val="32"/>
          <w14:textFill>
            <w14:solidFill>
              <w14:schemeClr w14:val="tx1"/>
            </w14:solidFill>
          </w14:textFill>
        </w:rPr>
        <w:t>，由分组会议进行初步审议。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常务委员会会议第二次审议地方性法规案，在全体会议上听取法制委员会关于法规草案修改情况的汇报，由分组会议进一步审议。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5"/>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pacing w:val="-5"/>
          <w:sz w:val="32"/>
          <w:szCs w:val="32"/>
          <w14:textFill>
            <w14:solidFill>
              <w14:schemeClr w14:val="tx1"/>
            </w14:solidFill>
          </w14:textFill>
        </w:rPr>
        <w:t>市人民代表大会常务委员会审议地方性法规案时，提案人应当派人听取意见，回答询问。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 xml:space="preserve">列入市人民代表大会常务委员会会议议程的地方性法规案，由有关的专门委员会召开全体会议进行审议，提出审议意见的报告。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 w:hAnsi="仿宋" w:eastAsia="仿宋"/>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 xml:space="preserve">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在市人民代表大会常务委员会审议地方性法规案后，应当将法规草案及其起草、修改的说明等通过张家界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3"/>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pacing w:val="-3"/>
          <w:sz w:val="32"/>
          <w:szCs w:val="32"/>
          <w14:textFill>
            <w14:solidFill>
              <w14:schemeClr w14:val="tx1"/>
            </w14:solidFill>
          </w14:textFill>
        </w:rPr>
        <w:t>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地方性法规案经三次市人民代表大会常务委员会会议审议后，仍有重大问题需要进一步研究的，由主任会议决定，可以暂不付表决，交法制委员会进一步审议。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市人民代表大会及其常务委员会表决通过的地方性法规，应当自通过之日起十五日内由常务委员会报请省人民代表大会常务委员会批准，未经批准，不得施行。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报请批准的地方性法规在省人民代表大会常务委员会批准后三十日内，由市人民代表大会常务委员会发布公告予以公布，并在《张家界日报》和张家界市人民代表大会常务委员会官网上刊载公告和地方性法规全文。公告中应当载明该地方性法规的制定机关、通过和施行日期，并注明批准机关和批准时间。在《张家界日报》上刊载的地方性法规文本为标准文本。</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    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480" w:firstLineChars="15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480" w:firstLineChars="150"/>
        <w:jc w:val="both"/>
        <w:textAlignment w:val="auto"/>
        <w:outlineLvl w:val="9"/>
        <w:rPr>
          <w:rFonts w:hint="eastAsia" w:ascii="仿宋_GB2312" w:hAnsi="仿宋_GB2312" w:eastAsia="仿宋_GB2312" w:cs="仿宋_GB2312"/>
          <w:color w:val="000000" w:themeColor="text1"/>
          <w:spacing w:val="-6"/>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w:t>
      </w:r>
      <w:r>
        <w:rPr>
          <w:rFonts w:hint="eastAsia" w:ascii="仿宋_GB2312" w:hAnsi="仿宋_GB2312" w:eastAsia="仿宋_GB2312" w:cs="仿宋_GB2312"/>
          <w:color w:val="000000" w:themeColor="text1"/>
          <w:spacing w:val="-6"/>
          <w:sz w:val="32"/>
          <w:szCs w:val="32"/>
          <w14:textFill>
            <w14:solidFill>
              <w14:schemeClr w14:val="tx1"/>
            </w14:solidFill>
          </w14:textFill>
        </w:rPr>
        <w:t>地方性法规制定后出现新的情况，需要明确适用依据的。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市人民政府、市中级人民法院、市人民检察院和市人民代表大会专门委员会以及各县（区）人民代表大会常务委员会可以向市人民代表大会常务委员会提出地方性法规解释要求。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2880" w:firstLineChars="900"/>
        <w:jc w:val="both"/>
        <w:textAlignment w:val="auto"/>
        <w:outlineLvl w:val="9"/>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2880" w:firstLineChars="900"/>
        <w:jc w:val="both"/>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第五章  其他规定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jc w:val="both"/>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法规草案一般由提案人组织起草。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有关的专门委员会、常务委员会工作机构应当提前参与有关方面的法规草案起草工作；综合性、全局性、基础性的重要法规草案，可以由有关的专门委员会、常务委员会工作机构组织起草。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 w:hAnsi="仿宋" w:eastAsia="仿宋"/>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专业性较强的法规草案，可以吸收相关领域专家参与起草工作，或者委托有关专家、教学科研单位、社会组织起草。</w:t>
      </w:r>
      <w:r>
        <w:rPr>
          <w:rFonts w:hint="eastAsia" w:ascii="仿宋" w:hAnsi="仿宋" w:eastAsia="仿宋"/>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pacing w:val="-9"/>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第四十三条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向</w:t>
      </w:r>
      <w:r>
        <w:rPr>
          <w:rFonts w:hint="eastAsia" w:ascii="仿宋_GB2312" w:hAnsi="仿宋_GB2312" w:eastAsia="仿宋_GB2312" w:cs="仿宋_GB2312"/>
          <w:color w:val="000000" w:themeColor="text1"/>
          <w:spacing w:val="-9"/>
          <w:sz w:val="32"/>
          <w:szCs w:val="32"/>
          <w14:textFill>
            <w14:solidFill>
              <w14:schemeClr w14:val="tx1"/>
            </w14:solidFill>
          </w14:textFill>
        </w:rPr>
        <w:t>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第四十四条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第四十五条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第四十六条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第四十七条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地方性法规的修改、废止程序，适用本条例的有关规定。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第四十八条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有关国家机关未能在期限内作出配套规定的，应当向常务委员会说明情况。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第四十九条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outlineLvl w:val="9"/>
        <w:rPr>
          <w:rFonts w:hint="eastAsia" w:ascii="仿宋" w:hAnsi="仿宋"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3" w:firstLineChars="200"/>
        <w:textAlignment w:val="auto"/>
        <w:outlineLvl w:val="9"/>
        <w:rPr>
          <w:rFonts w:hint="eastAsia" w:ascii="仿宋_GB2312" w:hAnsi="仿宋_GB2312" w:eastAsia="仿宋_GB2312" w:cs="仿宋_GB2312"/>
          <w:b/>
          <w:bCs/>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第五十一条</w:t>
      </w:r>
      <w:r>
        <w:rPr>
          <w:rFonts w:hint="eastAsia" w:ascii="仿宋_GB2312" w:hAnsi="仿宋_GB2312" w:eastAsia="仿宋_GB2312" w:cs="仿宋_GB2312"/>
          <w:b/>
          <w:bCs/>
          <w:color w:val="000000" w:themeColor="text1"/>
          <w:sz w:val="32"/>
          <w:szCs w:val="32"/>
          <w14:textFill>
            <w14:solidFill>
              <w14:schemeClr w14:val="tx1"/>
            </w14:solidFill>
          </w14:textFill>
        </w:rPr>
        <w:t>　</w:t>
      </w:r>
      <w:r>
        <w:rPr>
          <w:rFonts w:hint="eastAsia" w:ascii="仿宋_GB2312" w:hAnsi="仿宋_GB2312" w:eastAsia="仿宋_GB2312" w:cs="仿宋_GB2312"/>
          <w:color w:val="000000" w:themeColor="text1"/>
          <w:sz w:val="32"/>
          <w:szCs w:val="32"/>
          <w14:textFill>
            <w14:solidFill>
              <w14:schemeClr w14:val="tx1"/>
            </w14:solidFill>
          </w14:textFill>
        </w:rPr>
        <w:t>本条例自2020年</w:t>
      </w:r>
      <w:r>
        <w:rPr>
          <w:rFonts w:ascii="仿宋_GB2312" w:hAnsi="仿宋_GB2312" w:eastAsia="仿宋_GB2312" w:cs="仿宋_GB2312"/>
          <w:color w:val="000000" w:themeColor="text1"/>
          <w:sz w:val="32"/>
          <w:szCs w:val="32"/>
          <w14:textFill>
            <w14:solidFill>
              <w14:schemeClr w14:val="tx1"/>
            </w14:solidFill>
          </w14:textFill>
        </w:rPr>
        <w:t>5</w:t>
      </w:r>
      <w:r>
        <w:rPr>
          <w:rFonts w:hint="eastAsia" w:ascii="仿宋_GB2312" w:hAnsi="仿宋_GB2312" w:eastAsia="仿宋_GB2312" w:cs="仿宋_GB2312"/>
          <w:color w:val="000000" w:themeColor="text1"/>
          <w:sz w:val="32"/>
          <w:szCs w:val="32"/>
          <w14:textFill>
            <w14:solidFill>
              <w14:schemeClr w14:val="tx1"/>
            </w14:solidFill>
          </w14:textFill>
        </w:rPr>
        <w:t>月</w:t>
      </w:r>
      <w:r>
        <w:rPr>
          <w:rFonts w:ascii="仿宋_GB2312" w:hAnsi="仿宋_GB2312" w:eastAsia="仿宋_GB2312" w:cs="仿宋_GB2312"/>
          <w:color w:val="000000" w:themeColor="text1"/>
          <w:sz w:val="32"/>
          <w:szCs w:val="32"/>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日起施行。</w:t>
      </w:r>
    </w:p>
    <w:p>
      <w:pPr>
        <w:spacing w:line="240" w:lineRule="auto"/>
        <w:ind w:firstLine="640"/>
        <w:jc w:val="both"/>
        <w:rPr>
          <w:rFonts w:ascii="仿宋_GB2312" w:hAnsi="仿宋_GB2312" w:eastAsia="仿宋_GB2312" w:cs="仿宋_GB2312"/>
          <w:color w:val="000000" w:themeColor="text1"/>
          <w:sz w:val="32"/>
          <w14:textFill>
            <w14:solidFill>
              <w14:schemeClr w14:val="tx1"/>
            </w14:solidFill>
          </w14:textFill>
        </w:rPr>
      </w:pP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黑体">
    <w:panose1 w:val="02010600030101010101"/>
    <w:charset w:val="86"/>
    <w:family w:val="swiss"/>
    <w:pitch w:val="default"/>
    <w:sig w:usb0="00000001" w:usb1="080E0000" w:usb2="00000000" w:usb3="00000000" w:csb0="00040000" w:csb1="00000000"/>
  </w:font>
  <w:font w:name="仿宋">
    <w:altName w:val="仿宋_GB2312"/>
    <w:panose1 w:val="02010609060101010101"/>
    <w:charset w:val="86"/>
    <w:family w:val="swiss"/>
    <w:pitch w:val="default"/>
    <w:sig w:usb0="00000000" w:usb1="00000000"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decorative"/>
    <w:pitch w:val="default"/>
    <w:sig w:usb0="00000001" w:usb1="080E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00007A87" w:usb1="80000000" w:usb2="00000008" w:usb3="00000000" w:csb0="400001FF" w:csb1="FFFF0000"/>
  </w:font>
  <w:font w:name="楷体_GB2312">
    <w:panose1 w:val="02010609030101010101"/>
    <w:charset w:val="86"/>
    <w:family w:val="decorative"/>
    <w:pitch w:val="default"/>
    <w:sig w:usb0="00000001" w:usb1="080E0000" w:usb2="00000000" w:usb3="00000000" w:csb0="0004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黑体">
    <w:panose1 w:val="02010600030101010101"/>
    <w:charset w:val="86"/>
    <w:family w:val="decorative"/>
    <w:pitch w:val="default"/>
    <w:sig w:usb0="00000001" w:usb1="080E0000" w:usb2="00000000" w:usb3="00000000" w:csb0="00040000" w:csb1="00000000"/>
  </w:font>
  <w:font w:name="仿宋">
    <w:altName w:val="仿宋_GB2312"/>
    <w:panose1 w:val="02010609060101010101"/>
    <w:charset w:val="86"/>
    <w:family w:val="decorative"/>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4960A4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2020-05-02T08:17:42Z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