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宋体" w:cs="宋体"/>
          <w:b/>
          <w:color w:val="000000"/>
          <w:kern w:val="0"/>
          <w:sz w:val="44"/>
          <w:szCs w:val="44"/>
          <w:lang w:val="zh-CN"/>
        </w:rPr>
      </w:pPr>
      <w:bookmarkStart w:id="0" w:name="_GoBack"/>
      <w:bookmarkEnd w:id="0"/>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宋体" w:cs="宋体"/>
          <w:b/>
          <w:color w:val="000000"/>
          <w:kern w:val="0"/>
          <w:sz w:val="44"/>
          <w:szCs w:val="44"/>
          <w:lang w:val="zh-CN"/>
        </w:rPr>
      </w:pP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宋体" w:cs="宋体"/>
          <w:b/>
          <w:color w:val="000000"/>
          <w:kern w:val="0"/>
          <w:sz w:val="44"/>
          <w:szCs w:val="44"/>
          <w:lang w:val="zh-CN"/>
        </w:rPr>
      </w:pPr>
      <w:r>
        <w:rPr>
          <w:rFonts w:hint="eastAsia" w:ascii="宋体" w:cs="宋体"/>
          <w:b/>
          <w:color w:val="000000"/>
          <w:kern w:val="0"/>
          <w:sz w:val="44"/>
          <w:szCs w:val="44"/>
          <w:lang w:val="zh-CN"/>
        </w:rPr>
        <w:t>张家界市全域旅游促进条例</w:t>
      </w: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宋体" w:cs="宋体"/>
          <w:b/>
          <w:color w:val="000000"/>
          <w:kern w:val="0"/>
          <w:sz w:val="44"/>
          <w:szCs w:val="44"/>
          <w:lang w:val="zh-CN"/>
        </w:rPr>
      </w:pPr>
    </w:p>
    <w:p>
      <w:pPr>
        <w:keepNext w:val="0"/>
        <w:keepLines w:val="0"/>
        <w:pageBreakBefore w:val="0"/>
        <w:widowControl w:val="0"/>
        <w:kinsoku/>
        <w:wordWrap/>
        <w:overflowPunct/>
        <w:topLinePunct w:val="0"/>
        <w:autoSpaceDE w:val="0"/>
        <w:autoSpaceDN w:val="0"/>
        <w:bidi w:val="0"/>
        <w:adjustRightInd w:val="0"/>
        <w:snapToGrid/>
        <w:spacing w:line="580" w:lineRule="exact"/>
        <w:ind w:left="630" w:leftChars="300" w:right="630" w:rightChars="300"/>
        <w:jc w:val="left"/>
        <w:textAlignment w:val="auto"/>
        <w:outlineLvl w:val="9"/>
        <w:rPr>
          <w:rFonts w:hint="eastAsia" w:ascii="楷体" w:hAnsi="楷体" w:eastAsia="楷体" w:cs="方正楷体简体"/>
          <w:color w:val="000000"/>
          <w:kern w:val="0"/>
          <w:sz w:val="32"/>
          <w:szCs w:val="32"/>
          <w:lang w:val="zh-CN"/>
        </w:rPr>
      </w:pPr>
      <w:r>
        <w:rPr>
          <w:rFonts w:hint="eastAsia" w:ascii="楷体" w:hAnsi="楷体" w:eastAsia="楷体" w:cs="方正楷体简体"/>
          <w:color w:val="000000"/>
          <w:kern w:val="0"/>
          <w:sz w:val="32"/>
          <w:szCs w:val="32"/>
          <w:lang w:val="zh-CN"/>
        </w:rPr>
        <w:t>（2018年2月28日张家界市第七届人民代表大会常务委员会第十一次会议通过</w:t>
      </w:r>
      <w:r>
        <w:rPr>
          <w:rFonts w:hint="eastAsia" w:ascii="楷体" w:hAnsi="楷体" w:eastAsia="楷体" w:cs="方正楷体简体"/>
          <w:color w:val="000000"/>
          <w:kern w:val="0"/>
          <w:sz w:val="32"/>
          <w:szCs w:val="32"/>
        </w:rPr>
        <w:t xml:space="preserve">  </w:t>
      </w:r>
      <w:r>
        <w:rPr>
          <w:rFonts w:hint="eastAsia" w:ascii="楷体" w:hAnsi="楷体" w:eastAsia="楷体" w:cs="方正楷体简体"/>
          <w:color w:val="000000"/>
          <w:kern w:val="0"/>
          <w:sz w:val="32"/>
          <w:szCs w:val="32"/>
          <w:lang w:val="zh-CN"/>
        </w:rPr>
        <w:t>2018年3月</w:t>
      </w:r>
      <w:r>
        <w:rPr>
          <w:rFonts w:hint="eastAsia" w:ascii="楷体" w:hAnsi="楷体" w:eastAsia="楷体" w:cs="方正楷体简体"/>
          <w:color w:val="000000"/>
          <w:kern w:val="0"/>
          <w:sz w:val="32"/>
          <w:szCs w:val="32"/>
        </w:rPr>
        <w:t>3</w:t>
      </w:r>
      <w:r>
        <w:rPr>
          <w:rFonts w:ascii="楷体" w:hAnsi="楷体" w:eastAsia="楷体" w:cs="方正楷体简体"/>
          <w:color w:val="000000"/>
          <w:kern w:val="0"/>
          <w:sz w:val="32"/>
          <w:szCs w:val="32"/>
        </w:rPr>
        <w:t>1</w:t>
      </w:r>
      <w:r>
        <w:rPr>
          <w:rFonts w:hint="eastAsia" w:ascii="楷体" w:hAnsi="楷体" w:eastAsia="楷体" w:cs="方正楷体简体"/>
          <w:color w:val="000000"/>
          <w:kern w:val="0"/>
          <w:sz w:val="32"/>
          <w:szCs w:val="32"/>
          <w:lang w:val="zh-CN"/>
        </w:rPr>
        <w:t>日湖南省第十三届人民代表大会常务委员会第三次会议批准）</w:t>
      </w:r>
    </w:p>
    <w:p>
      <w:pPr>
        <w:keepNext w:val="0"/>
        <w:keepLines w:val="0"/>
        <w:pageBreakBefore w:val="0"/>
        <w:widowControl w:val="0"/>
        <w:kinsoku/>
        <w:wordWrap/>
        <w:overflowPunct/>
        <w:topLinePunct w:val="0"/>
        <w:autoSpaceDE w:val="0"/>
        <w:autoSpaceDN w:val="0"/>
        <w:bidi w:val="0"/>
        <w:adjustRightInd w:val="0"/>
        <w:spacing w:line="580" w:lineRule="exact"/>
        <w:ind w:firstLine="640"/>
        <w:jc w:val="left"/>
        <w:textAlignment w:val="auto"/>
        <w:outlineLvl w:val="9"/>
        <w:rPr>
          <w:rFonts w:hint="eastAsia" w:ascii="楷体" w:hAnsi="楷体" w:eastAsia="楷体" w:cs="方正楷体简体"/>
          <w:color w:val="000000"/>
          <w:kern w:val="0"/>
          <w:sz w:val="32"/>
          <w:szCs w:val="32"/>
          <w:lang w:val="zh-CN"/>
        </w:rPr>
      </w:pPr>
    </w:p>
    <w:p>
      <w:pPr>
        <w:keepNext w:val="0"/>
        <w:keepLines w:val="0"/>
        <w:pageBreakBefore w:val="0"/>
        <w:widowControl w:val="0"/>
        <w:kinsoku/>
        <w:wordWrap/>
        <w:overflowPunct/>
        <w:topLinePunct w:val="0"/>
        <w:bidi w:val="0"/>
        <w:adjustRightInd w:val="0"/>
        <w:snapToGrid w:val="0"/>
        <w:spacing w:line="580" w:lineRule="exact"/>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kinsoku/>
        <w:wordWrap/>
        <w:overflowPunct/>
        <w:topLinePunct w:val="0"/>
        <w:bidi w:val="0"/>
        <w:adjustRightInd w:val="0"/>
        <w:snapToGrid w:val="0"/>
        <w:spacing w:line="58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overflowPunct/>
        <w:topLinePunct w:val="0"/>
        <w:autoSpaceDE w:val="0"/>
        <w:autoSpaceDN w:val="0"/>
        <w:bidi w:val="0"/>
        <w:adjustRightInd w:val="0"/>
        <w:spacing w:line="580" w:lineRule="exact"/>
        <w:ind w:firstLine="640" w:firstLineChars="200"/>
        <w:jc w:val="left"/>
        <w:textAlignment w:val="auto"/>
        <w:outlineLvl w:val="9"/>
        <w:rPr>
          <w:rFonts w:hint="eastAsia" w:ascii="楷体_GB2312" w:hAnsi="楷体_GB2312" w:eastAsia="楷体_GB2312" w:cs="楷体_GB2312"/>
          <w:color w:val="000000"/>
          <w:kern w:val="0"/>
          <w:sz w:val="32"/>
          <w:szCs w:val="32"/>
          <w:lang w:val="zh-CN"/>
        </w:rPr>
      </w:pPr>
      <w:r>
        <w:rPr>
          <w:rFonts w:hint="eastAsia" w:ascii="楷体_GB2312" w:hAnsi="楷体_GB2312" w:eastAsia="楷体_GB2312" w:cs="楷体_GB2312"/>
          <w:color w:val="000000"/>
          <w:sz w:val="32"/>
          <w:szCs w:val="32"/>
        </w:rPr>
        <w:t xml:space="preserve">第二章  </w:t>
      </w:r>
      <w:r>
        <w:rPr>
          <w:rFonts w:hint="eastAsia" w:ascii="楷体_GB2312" w:hAnsi="楷体_GB2312" w:eastAsia="楷体_GB2312" w:cs="楷体_GB2312"/>
          <w:color w:val="000000"/>
          <w:kern w:val="0"/>
          <w:sz w:val="32"/>
          <w:szCs w:val="32"/>
          <w:lang w:val="zh-CN"/>
        </w:rPr>
        <w:t>规划引导与产业融合</w:t>
      </w:r>
    </w:p>
    <w:p>
      <w:pPr>
        <w:keepNext w:val="0"/>
        <w:keepLines w:val="0"/>
        <w:pageBreakBefore w:val="0"/>
        <w:widowControl w:val="0"/>
        <w:kinsoku/>
        <w:wordWrap/>
        <w:overflowPunct/>
        <w:topLinePunct w:val="0"/>
        <w:autoSpaceDE w:val="0"/>
        <w:autoSpaceDN w:val="0"/>
        <w:bidi w:val="0"/>
        <w:adjustRightInd w:val="0"/>
        <w:spacing w:line="580" w:lineRule="exact"/>
        <w:ind w:firstLine="640" w:firstLineChars="200"/>
        <w:jc w:val="left"/>
        <w:textAlignment w:val="auto"/>
        <w:outlineLvl w:val="9"/>
        <w:rPr>
          <w:rFonts w:hint="eastAsia" w:ascii="楷体_GB2312" w:hAnsi="楷体_GB2312" w:eastAsia="楷体_GB2312" w:cs="楷体_GB2312"/>
          <w:color w:val="000000"/>
          <w:kern w:val="0"/>
          <w:sz w:val="32"/>
          <w:szCs w:val="32"/>
          <w:lang w:val="zh-CN"/>
        </w:rPr>
      </w:pPr>
      <w:r>
        <w:rPr>
          <w:rFonts w:hint="eastAsia" w:ascii="楷体_GB2312" w:hAnsi="楷体_GB2312" w:eastAsia="楷体_GB2312" w:cs="楷体_GB2312"/>
          <w:color w:val="000000"/>
          <w:sz w:val="32"/>
          <w:szCs w:val="32"/>
        </w:rPr>
        <w:t xml:space="preserve">第三章  </w:t>
      </w:r>
      <w:r>
        <w:rPr>
          <w:rFonts w:hint="eastAsia" w:ascii="楷体_GB2312" w:hAnsi="楷体_GB2312" w:eastAsia="楷体_GB2312" w:cs="楷体_GB2312"/>
          <w:color w:val="000000"/>
          <w:kern w:val="0"/>
          <w:sz w:val="32"/>
          <w:szCs w:val="32"/>
          <w:lang w:val="zh-CN"/>
        </w:rPr>
        <w:t>景区建设和管理</w:t>
      </w:r>
    </w:p>
    <w:p>
      <w:pPr>
        <w:keepNext w:val="0"/>
        <w:keepLines w:val="0"/>
        <w:pageBreakBefore w:val="0"/>
        <w:widowControl w:val="0"/>
        <w:kinsoku/>
        <w:wordWrap/>
        <w:overflowPunct/>
        <w:topLinePunct w:val="0"/>
        <w:autoSpaceDE w:val="0"/>
        <w:autoSpaceDN w:val="0"/>
        <w:bidi w:val="0"/>
        <w:adjustRightInd w:val="0"/>
        <w:spacing w:line="580" w:lineRule="exact"/>
        <w:ind w:firstLine="640" w:firstLineChars="200"/>
        <w:jc w:val="left"/>
        <w:textAlignment w:val="auto"/>
        <w:outlineLvl w:val="9"/>
        <w:rPr>
          <w:rFonts w:hint="eastAsia" w:ascii="楷体_GB2312" w:hAnsi="楷体_GB2312" w:eastAsia="楷体_GB2312" w:cs="楷体_GB2312"/>
          <w:color w:val="000000"/>
          <w:kern w:val="0"/>
          <w:sz w:val="32"/>
          <w:szCs w:val="32"/>
          <w:lang w:val="zh-CN"/>
        </w:rPr>
      </w:pPr>
      <w:r>
        <w:rPr>
          <w:rFonts w:hint="eastAsia" w:ascii="楷体_GB2312" w:hAnsi="楷体_GB2312" w:eastAsia="楷体_GB2312" w:cs="楷体_GB2312"/>
          <w:color w:val="000000"/>
          <w:sz w:val="32"/>
          <w:szCs w:val="32"/>
        </w:rPr>
        <w:t xml:space="preserve">第四章  </w:t>
      </w:r>
      <w:r>
        <w:rPr>
          <w:rFonts w:hint="eastAsia" w:ascii="楷体_GB2312" w:hAnsi="楷体_GB2312" w:eastAsia="楷体_GB2312" w:cs="楷体_GB2312"/>
          <w:color w:val="000000"/>
          <w:kern w:val="0"/>
          <w:sz w:val="32"/>
          <w:szCs w:val="32"/>
          <w:lang w:val="zh-CN"/>
        </w:rPr>
        <w:t>乡村旅游</w:t>
      </w:r>
    </w:p>
    <w:p>
      <w:pPr>
        <w:keepNext w:val="0"/>
        <w:keepLines w:val="0"/>
        <w:pageBreakBefore w:val="0"/>
        <w:widowControl w:val="0"/>
        <w:kinsoku/>
        <w:wordWrap/>
        <w:overflowPunct/>
        <w:topLinePunct w:val="0"/>
        <w:bidi w:val="0"/>
        <w:adjustRightInd w:val="0"/>
        <w:snapToGrid w:val="0"/>
        <w:spacing w:line="580" w:lineRule="exact"/>
        <w:ind w:firstLine="640" w:firstLineChars="200"/>
        <w:textAlignment w:val="auto"/>
        <w:outlineLvl w:val="9"/>
        <w:rPr>
          <w:rFonts w:hint="eastAsia" w:ascii="楷体_GB2312" w:hAnsi="楷体_GB2312" w:eastAsia="楷体_GB2312" w:cs="楷体_GB2312"/>
          <w:color w:val="000000"/>
          <w:kern w:val="0"/>
          <w:sz w:val="32"/>
          <w:szCs w:val="32"/>
          <w:lang w:val="zh-CN"/>
        </w:rPr>
      </w:pPr>
      <w:r>
        <w:rPr>
          <w:rFonts w:hint="eastAsia" w:ascii="楷体_GB2312" w:hAnsi="楷体_GB2312" w:eastAsia="楷体_GB2312" w:cs="楷体_GB2312"/>
          <w:color w:val="000000"/>
          <w:sz w:val="32"/>
          <w:szCs w:val="32"/>
        </w:rPr>
        <w:t xml:space="preserve">第五章  </w:t>
      </w:r>
      <w:r>
        <w:rPr>
          <w:rFonts w:hint="eastAsia" w:ascii="楷体_GB2312" w:hAnsi="楷体_GB2312" w:eastAsia="楷体_GB2312" w:cs="楷体_GB2312"/>
          <w:color w:val="000000"/>
          <w:kern w:val="0"/>
          <w:sz w:val="32"/>
          <w:szCs w:val="32"/>
          <w:lang w:val="zh-CN"/>
        </w:rPr>
        <w:t>基础设施与服务保障</w:t>
      </w:r>
    </w:p>
    <w:p>
      <w:pPr>
        <w:keepNext w:val="0"/>
        <w:keepLines w:val="0"/>
        <w:pageBreakBefore w:val="0"/>
        <w:widowControl w:val="0"/>
        <w:kinsoku/>
        <w:wordWrap/>
        <w:overflowPunct/>
        <w:topLinePunct w:val="0"/>
        <w:autoSpaceDE w:val="0"/>
        <w:autoSpaceDN w:val="0"/>
        <w:bidi w:val="0"/>
        <w:adjustRightInd w:val="0"/>
        <w:spacing w:line="580" w:lineRule="exact"/>
        <w:ind w:firstLine="640" w:firstLineChars="200"/>
        <w:jc w:val="left"/>
        <w:textAlignment w:val="auto"/>
        <w:outlineLvl w:val="9"/>
        <w:rPr>
          <w:rFonts w:hint="eastAsia" w:ascii="楷体_GB2312" w:hAnsi="楷体_GB2312" w:eastAsia="楷体_GB2312" w:cs="楷体_GB2312"/>
          <w:color w:val="000000"/>
          <w:kern w:val="0"/>
          <w:sz w:val="32"/>
          <w:szCs w:val="32"/>
          <w:lang w:val="zh-CN"/>
        </w:rPr>
      </w:pPr>
      <w:r>
        <w:rPr>
          <w:rFonts w:hint="eastAsia" w:ascii="楷体_GB2312" w:hAnsi="楷体_GB2312" w:eastAsia="楷体_GB2312" w:cs="楷体_GB2312"/>
          <w:color w:val="000000"/>
          <w:sz w:val="32"/>
          <w:szCs w:val="32"/>
        </w:rPr>
        <w:t xml:space="preserve">第六章  </w:t>
      </w:r>
      <w:r>
        <w:rPr>
          <w:rFonts w:hint="eastAsia" w:ascii="楷体_GB2312" w:hAnsi="楷体_GB2312" w:eastAsia="楷体_GB2312" w:cs="楷体_GB2312"/>
          <w:color w:val="000000"/>
          <w:kern w:val="0"/>
          <w:sz w:val="32"/>
          <w:szCs w:val="32"/>
          <w:lang w:val="zh-CN"/>
        </w:rPr>
        <w:t>法律责任</w:t>
      </w:r>
    </w:p>
    <w:p>
      <w:pPr>
        <w:keepNext w:val="0"/>
        <w:keepLines w:val="0"/>
        <w:pageBreakBefore w:val="0"/>
        <w:widowControl w:val="0"/>
        <w:kinsoku/>
        <w:wordWrap/>
        <w:overflowPunct/>
        <w:topLinePunct w:val="0"/>
        <w:bidi w:val="0"/>
        <w:adjustRightInd w:val="0"/>
        <w:snapToGrid w:val="0"/>
        <w:spacing w:line="58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第七章  附则  </w:t>
      </w: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宋体" w:hAnsi="Calibri" w:cs="宋体"/>
          <w:b/>
          <w:bCs/>
          <w:color w:val="000000"/>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Calibri" w:hAnsi="Calibri" w:cs="Calibri"/>
          <w:b/>
          <w:bCs/>
          <w:color w:val="000000"/>
          <w:kern w:val="0"/>
          <w:sz w:val="32"/>
          <w:szCs w:val="32"/>
          <w:lang w:val="zh-CN"/>
        </w:rPr>
      </w:pPr>
      <w:r>
        <w:rPr>
          <w:rFonts w:hint="eastAsia" w:ascii="宋体" w:hAnsi="Calibri" w:cs="宋体"/>
          <w:b/>
          <w:bCs/>
          <w:color w:val="000000"/>
          <w:kern w:val="0"/>
          <w:sz w:val="32"/>
          <w:szCs w:val="32"/>
          <w:lang w:val="zh-CN"/>
        </w:rPr>
        <w:t>第一章</w:t>
      </w:r>
      <w:r>
        <w:rPr>
          <w:rFonts w:ascii="Calibri" w:hAnsi="Calibri" w:cs="Calibri"/>
          <w:b/>
          <w:bCs/>
          <w:color w:val="000000"/>
          <w:kern w:val="0"/>
          <w:sz w:val="32"/>
          <w:szCs w:val="32"/>
          <w:lang w:val="zh-CN"/>
        </w:rPr>
        <w:t xml:space="preserve"> </w:t>
      </w:r>
      <w:r>
        <w:rPr>
          <w:rFonts w:hint="eastAsia" w:ascii="宋体" w:hAnsi="Calibri" w:cs="宋体"/>
          <w:b/>
          <w:bCs/>
          <w:color w:val="000000"/>
          <w:kern w:val="0"/>
          <w:sz w:val="32"/>
          <w:szCs w:val="32"/>
          <w:lang w:val="zh-CN"/>
        </w:rPr>
        <w:t>总则</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第一条  为了促进本市全域旅游科学、健康、协调、有序发展，根据《中华人民共和国旅游法》《中华人民共和国城乡规划法》《湖南省实施〈中华人民共和国旅游法〉办法》等法律法规，结合本市实际，制定本条例。</w:t>
      </w:r>
    </w:p>
    <w:p>
      <w:pPr>
        <w:keepNext w:val="0"/>
        <w:keepLines w:val="0"/>
        <w:pageBreakBefore w:val="0"/>
        <w:widowControl w:val="0"/>
        <w:kinsoku/>
        <w:wordWrap/>
        <w:overflowPunct/>
        <w:topLinePunct w:val="0"/>
        <w:autoSpaceDE w:val="0"/>
        <w:autoSpaceDN w:val="0"/>
        <w:bidi w:val="0"/>
        <w:adjustRightInd w:val="0"/>
        <w:snapToGrid w:val="0"/>
        <w:spacing w:line="580" w:lineRule="exact"/>
        <w:ind w:firstLine="641"/>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第二条  本条例适用于本市行政区域内为促进全域旅游发展而开展的规划、建设、管理等活动。</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仿宋" w:eastAsia="仿宋" w:cs="宋体"/>
          <w:color w:val="000000"/>
          <w:kern w:val="0"/>
          <w:sz w:val="32"/>
          <w:szCs w:val="32"/>
          <w:lang w:val="zh-CN"/>
        </w:rPr>
        <w:t>本条例所称全域旅游，是指在本市行政区域内，充分利用自然与人文景观以及文化、科技、生态等旅游资源，以旅游业为优势主导产业，实现区域资源有机整合、产业深度融合发展和社会共同参与，通过旅游业带动经济社会全面发展的旅游发展模式。</w:t>
      </w:r>
    </w:p>
    <w:p>
      <w:pPr>
        <w:keepNext w:val="0"/>
        <w:keepLines w:val="0"/>
        <w:pageBreakBefore w:val="0"/>
        <w:widowControl w:val="0"/>
        <w:kinsoku/>
        <w:wordWrap/>
        <w:overflowPunct/>
        <w:topLinePunct w:val="0"/>
        <w:bidi w:val="0"/>
        <w:spacing w:line="580" w:lineRule="exact"/>
        <w:ind w:firstLine="57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第三条</w:t>
      </w:r>
      <w:r>
        <w:rPr>
          <w:rFonts w:hint="eastAsia" w:ascii="仿宋" w:hAnsi="Calibri" w:eastAsia="仿宋" w:cs="仿宋"/>
          <w:color w:val="000000"/>
          <w:kern w:val="0"/>
          <w:sz w:val="32"/>
          <w:szCs w:val="32"/>
          <w:lang w:val="zh-CN"/>
        </w:rPr>
        <w:t xml:space="preserve">  </w:t>
      </w:r>
      <w:r>
        <w:rPr>
          <w:rFonts w:hint="eastAsia" w:ascii="仿宋" w:hAnsi="仿宋" w:eastAsia="仿宋"/>
          <w:color w:val="000000"/>
          <w:sz w:val="32"/>
          <w:szCs w:val="32"/>
        </w:rPr>
        <w:t>促进全域旅游发展，应当推进</w:t>
      </w:r>
      <w:r>
        <w:rPr>
          <w:rFonts w:hint="eastAsia" w:ascii="仿宋" w:hAnsi="仿宋" w:eastAsia="仿宋" w:cs="Arial"/>
          <w:color w:val="000000"/>
          <w:sz w:val="32"/>
          <w:szCs w:val="32"/>
          <w:shd w:val="clear" w:color="auto" w:fill="FFFFFF"/>
        </w:rPr>
        <w:t>旅游与新型工业化、信息化、城镇化、农业现代化以及乡村振兴相结合，</w:t>
      </w:r>
      <w:r>
        <w:rPr>
          <w:rFonts w:hint="eastAsia" w:ascii="仿宋" w:hAnsi="仿宋" w:eastAsia="仿宋"/>
          <w:color w:val="000000"/>
          <w:sz w:val="32"/>
          <w:szCs w:val="32"/>
        </w:rPr>
        <w:t>坚持政府引导、市场主导、企业主体、社会参与、行业自律、资源整合、产业融合的原则，实现本市全域旅游产业化、标准化、信息化、国际化。</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Calibri" w:eastAsia="仿宋" w:cs="仿宋"/>
          <w:color w:val="000000"/>
          <w:kern w:val="0"/>
          <w:sz w:val="32"/>
          <w:szCs w:val="32"/>
          <w:lang w:val="zh-CN"/>
        </w:rPr>
      </w:pPr>
      <w:r>
        <w:rPr>
          <w:rFonts w:hint="eastAsia" w:ascii="仿宋" w:hAnsi="仿宋" w:eastAsia="仿宋"/>
          <w:color w:val="000000"/>
          <w:sz w:val="32"/>
          <w:szCs w:val="32"/>
        </w:rPr>
        <w:t>第四条</w:t>
      </w:r>
      <w:r>
        <w:rPr>
          <w:rFonts w:hint="eastAsia" w:ascii="仿宋" w:hAnsi="Calibri" w:eastAsia="仿宋" w:cs="仿宋"/>
          <w:color w:val="000000"/>
          <w:kern w:val="0"/>
          <w:sz w:val="32"/>
          <w:szCs w:val="32"/>
          <w:lang w:val="zh-CN"/>
        </w:rPr>
        <w:t xml:space="preserve">  </w:t>
      </w:r>
      <w:r>
        <w:rPr>
          <w:rFonts w:hint="eastAsia" w:ascii="仿宋" w:hAnsi="仿宋" w:eastAsia="仿宋" w:cs="Arial"/>
          <w:color w:val="000000"/>
          <w:sz w:val="32"/>
          <w:szCs w:val="32"/>
          <w:shd w:val="clear" w:color="auto" w:fill="FFFFFF"/>
        </w:rPr>
        <w:t>市、区县人民政府应当加强对全域旅游发展的组织和领导，完善综合协调机制，制定促进资源整合、产业融合发展的政策措施，统筹解决全域旅游发展的重大问题。</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乡、镇人民政府和街道办事处，应当配合有关部门做好环境保护、资源开发、旅游规划监管、旅游安全监管、旅游秩序维护、旅游纠纷处理、文明旅游宣传和公民文明素质教育等工作。</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村（居）民委员会应当协助有关部门做好全域旅游促进工作，维护旅游资源开发建设秩序，监督旅游规划实施，教育、引导居民遵守法律法规，提高居民文明素质。</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第五条</w:t>
      </w:r>
      <w:r>
        <w:rPr>
          <w:rFonts w:hint="eastAsia" w:ascii="仿宋" w:hAnsi="Calibri" w:eastAsia="仿宋" w:cs="仿宋"/>
          <w:color w:val="000000"/>
          <w:kern w:val="0"/>
          <w:sz w:val="32"/>
          <w:szCs w:val="32"/>
          <w:lang w:val="zh-CN"/>
        </w:rPr>
        <w:t xml:space="preserve">  </w:t>
      </w:r>
      <w:r>
        <w:rPr>
          <w:rFonts w:hint="eastAsia" w:ascii="仿宋" w:hAnsi="仿宋" w:eastAsia="仿宋"/>
          <w:color w:val="000000"/>
          <w:sz w:val="32"/>
          <w:szCs w:val="32"/>
        </w:rPr>
        <w:t>市、区县旅游主管部门负责旅游市场开拓、旅游资源保护和开发的指导协调、旅游安全监督管理、旅游者合法权益保护，以及对旅游经营活动的指导和监督管理等。</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第六条</w:t>
      </w:r>
      <w:r>
        <w:rPr>
          <w:rFonts w:hint="eastAsia" w:ascii="仿宋" w:hAnsi="Calibri" w:eastAsia="仿宋" w:cs="仿宋"/>
          <w:color w:val="000000"/>
          <w:kern w:val="0"/>
          <w:sz w:val="32"/>
          <w:szCs w:val="32"/>
          <w:lang w:val="zh-CN"/>
        </w:rPr>
        <w:t xml:space="preserve">  </w:t>
      </w:r>
      <w:r>
        <w:rPr>
          <w:rFonts w:hint="eastAsia" w:ascii="仿宋" w:hAnsi="仿宋" w:eastAsia="仿宋"/>
          <w:color w:val="000000"/>
          <w:sz w:val="32"/>
          <w:szCs w:val="32"/>
        </w:rPr>
        <w:t>旅游行业协会、商会应当发挥服务、引导、协调和监督作用，制定和实施行业规范，开展服务质量等级评定等行业自律活动，调解旅游纠纷，组织开展职业道德教育和业务培训。</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鼓励和支持旅游行业协会、商会对其会员实行诚信等级管理，建立行业诚信档案，促进旅游经营者诚信经营。</w:t>
      </w:r>
    </w:p>
    <w:p>
      <w:pPr>
        <w:keepNext w:val="0"/>
        <w:keepLines w:val="0"/>
        <w:pageBreakBefore w:val="0"/>
        <w:widowControl w:val="0"/>
        <w:shd w:val="clear" w:color="auto" w:fill="FFFFFF"/>
        <w:kinsoku/>
        <w:wordWrap/>
        <w:overflowPunct/>
        <w:topLinePunct w:val="0"/>
        <w:bidi w:val="0"/>
        <w:spacing w:line="580" w:lineRule="exact"/>
        <w:ind w:firstLine="800" w:firstLineChars="250"/>
        <w:jc w:val="left"/>
        <w:textAlignment w:val="auto"/>
        <w:outlineLvl w:val="9"/>
        <w:rPr>
          <w:rFonts w:hint="eastAsia" w:ascii="仿宋" w:hAnsi="仿宋" w:eastAsia="仿宋" w:cs="Arial"/>
          <w:color w:val="000000"/>
          <w:kern w:val="0"/>
          <w:sz w:val="32"/>
          <w:szCs w:val="32"/>
        </w:rPr>
      </w:pPr>
      <w:r>
        <w:rPr>
          <w:rFonts w:hint="eastAsia" w:ascii="仿宋" w:hAnsi="仿宋" w:eastAsia="仿宋" w:cs="Arial"/>
          <w:color w:val="000000"/>
          <w:kern w:val="0"/>
          <w:sz w:val="32"/>
          <w:szCs w:val="32"/>
        </w:rPr>
        <w:t>第七条</w:t>
      </w:r>
      <w:r>
        <w:rPr>
          <w:rFonts w:hint="eastAsia" w:ascii="仿宋" w:hAnsi="Calibri" w:eastAsia="仿宋" w:cs="仿宋"/>
          <w:color w:val="000000"/>
          <w:kern w:val="0"/>
          <w:sz w:val="32"/>
          <w:szCs w:val="32"/>
          <w:lang w:val="zh-CN"/>
        </w:rPr>
        <w:t xml:space="preserve">  </w:t>
      </w:r>
      <w:r>
        <w:rPr>
          <w:rFonts w:hint="eastAsia" w:ascii="仿宋" w:hAnsi="仿宋" w:eastAsia="仿宋" w:cs="Arial"/>
          <w:color w:val="000000"/>
          <w:kern w:val="0"/>
          <w:sz w:val="32"/>
          <w:szCs w:val="32"/>
        </w:rPr>
        <w:t>旅游主管部门应当会同有关单位建立旅游志愿服务体系，指导开展旅游志愿服务。</w:t>
      </w:r>
    </w:p>
    <w:p>
      <w:pPr>
        <w:keepNext w:val="0"/>
        <w:keepLines w:val="0"/>
        <w:pageBreakBefore w:val="0"/>
        <w:widowControl w:val="0"/>
        <w:shd w:val="clear" w:color="auto" w:fill="FFFFFF"/>
        <w:kinsoku/>
        <w:wordWrap/>
        <w:overflowPunct/>
        <w:topLinePunct w:val="0"/>
        <w:bidi w:val="0"/>
        <w:spacing w:line="580" w:lineRule="exact"/>
        <w:ind w:firstLine="640" w:firstLineChars="200"/>
        <w:jc w:val="left"/>
        <w:textAlignment w:val="auto"/>
        <w:outlineLvl w:val="9"/>
        <w:rPr>
          <w:rFonts w:hint="eastAsia" w:ascii="仿宋" w:hAnsi="仿宋" w:eastAsia="仿宋" w:cs="Arial"/>
          <w:color w:val="000000"/>
          <w:kern w:val="0"/>
          <w:sz w:val="32"/>
          <w:szCs w:val="32"/>
        </w:rPr>
      </w:pPr>
      <w:r>
        <w:rPr>
          <w:rFonts w:hint="eastAsia" w:ascii="仿宋" w:hAnsi="仿宋" w:eastAsia="仿宋" w:cs="Arial"/>
          <w:color w:val="000000"/>
          <w:kern w:val="0"/>
          <w:sz w:val="32"/>
          <w:szCs w:val="32"/>
        </w:rPr>
        <w:t>鼓励社会组织和公民参与旅游志愿活动，在信息咨询、翻译接待、秩序维护、应急救援、文明督导、向导指引等方面提供志愿服务。</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olor w:val="000000"/>
          <w:sz w:val="32"/>
          <w:szCs w:val="32"/>
        </w:rPr>
      </w:pPr>
      <w:r>
        <w:rPr>
          <w:rFonts w:hint="eastAsia" w:ascii="仿宋" w:hAnsi="Calibri" w:eastAsia="仿宋" w:cs="仿宋"/>
          <w:color w:val="000000"/>
          <w:kern w:val="0"/>
          <w:sz w:val="32"/>
          <w:szCs w:val="32"/>
          <w:lang w:val="zh-CN"/>
        </w:rPr>
        <w:t>第八条  市、区</w:t>
      </w:r>
      <w:r>
        <w:rPr>
          <w:rFonts w:hint="eastAsia" w:ascii="仿宋" w:hAnsi="仿宋" w:eastAsia="仿宋"/>
          <w:color w:val="000000"/>
          <w:sz w:val="32"/>
          <w:szCs w:val="32"/>
        </w:rPr>
        <w:t>县人民政府应当推动高等院校、职业学校、职业培训机构与旅游主管部门、旅游经营者合作建立旅游人才培训、创业基地，培养、引进旅游人才，促进</w:t>
      </w:r>
      <w:r>
        <w:rPr>
          <w:rFonts w:hint="eastAsia" w:ascii="仿宋" w:hAnsi="仿宋" w:eastAsia="仿宋" w:cs="Arial"/>
          <w:color w:val="000000"/>
          <w:sz w:val="32"/>
          <w:szCs w:val="32"/>
          <w:shd w:val="clear" w:color="auto" w:fill="FFFFFF"/>
        </w:rPr>
        <w:t>旅游产学研一体化发展</w:t>
      </w:r>
      <w:r>
        <w:rPr>
          <w:rFonts w:hint="eastAsia" w:ascii="仿宋" w:hAnsi="仿宋" w:eastAsia="仿宋"/>
          <w:color w:val="000000"/>
          <w:sz w:val="32"/>
          <w:szCs w:val="32"/>
        </w:rPr>
        <w:t>。</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在旅游基础研究、资源利用、产品开发、形象推广、产业融合等方面取得突出成绩，为促进全域旅游发展做出重大贡献的单位和个人，由市、区县人民政府给予奖励，奖励办法由市、区县人民政府制定。</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s="仿宋"/>
          <w:color w:val="000000"/>
          <w:kern w:val="0"/>
          <w:sz w:val="32"/>
          <w:szCs w:val="32"/>
          <w:lang w:val="zh-CN"/>
        </w:rPr>
      </w:pPr>
      <w:r>
        <w:rPr>
          <w:rFonts w:hint="eastAsia" w:ascii="仿宋" w:hAnsi="Calibri" w:eastAsia="仿宋" w:cs="仿宋"/>
          <w:color w:val="000000"/>
          <w:kern w:val="0"/>
          <w:sz w:val="32"/>
          <w:szCs w:val="32"/>
          <w:lang w:val="zh-CN"/>
        </w:rPr>
        <w:t>第九条  市、区县人民政府及其旅游主管部门应当统筹推广以张家界为核心品牌的旅游形象。</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s="Arial"/>
          <w:color w:val="000000"/>
          <w:sz w:val="32"/>
          <w:szCs w:val="32"/>
          <w:shd w:val="clear" w:color="auto" w:fill="FFFFFF"/>
        </w:rPr>
      </w:pPr>
      <w:r>
        <w:rPr>
          <w:rFonts w:hint="eastAsia" w:ascii="仿宋" w:hAnsi="仿宋" w:eastAsia="仿宋" w:cs="Arial"/>
          <w:color w:val="000000"/>
          <w:sz w:val="32"/>
          <w:szCs w:val="32"/>
          <w:shd w:val="clear" w:color="auto" w:fill="FFFFFF"/>
        </w:rPr>
        <w:t>建立跨部门、跨行业的旅游形象推广机制，本市开展的重大外事、经贸、文化、科技、体育等活动，应当推广本市旅游形象。</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s="仿宋"/>
          <w:color w:val="000000"/>
          <w:kern w:val="0"/>
          <w:sz w:val="32"/>
          <w:szCs w:val="32"/>
        </w:rPr>
      </w:pPr>
      <w:r>
        <w:rPr>
          <w:rFonts w:hint="eastAsia" w:ascii="仿宋" w:hAnsi="仿宋" w:eastAsia="仿宋" w:cs="Arial"/>
          <w:color w:val="000000"/>
          <w:sz w:val="32"/>
          <w:szCs w:val="32"/>
          <w:shd w:val="clear" w:color="auto" w:fill="FFFFFF"/>
        </w:rPr>
        <w:t>开展宣传促销，不得损害本市旅游形象，不得贬损同行业竞争者。</w:t>
      </w: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宋体" w:hAnsi="Calibri" w:cs="宋体"/>
          <w:b/>
          <w:bCs/>
          <w:color w:val="000000"/>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宋体" w:hAnsi="Calibri" w:cs="宋体"/>
          <w:b/>
          <w:bCs/>
          <w:color w:val="000000"/>
          <w:kern w:val="0"/>
          <w:sz w:val="32"/>
          <w:szCs w:val="32"/>
          <w:lang w:val="zh-CN"/>
        </w:rPr>
      </w:pPr>
      <w:r>
        <w:rPr>
          <w:rFonts w:hint="eastAsia" w:ascii="宋体" w:hAnsi="Calibri" w:cs="宋体"/>
          <w:b/>
          <w:bCs/>
          <w:color w:val="000000"/>
          <w:kern w:val="0"/>
          <w:sz w:val="32"/>
          <w:szCs w:val="32"/>
          <w:lang w:val="zh-CN"/>
        </w:rPr>
        <w:t>第二章</w:t>
      </w:r>
      <w:r>
        <w:rPr>
          <w:rFonts w:ascii="Calibri" w:hAnsi="Calibri" w:cs="Calibri"/>
          <w:b/>
          <w:bCs/>
          <w:color w:val="000000"/>
          <w:kern w:val="0"/>
          <w:sz w:val="32"/>
          <w:szCs w:val="32"/>
          <w:lang w:val="zh-CN"/>
        </w:rPr>
        <w:t xml:space="preserve">  </w:t>
      </w:r>
      <w:r>
        <w:rPr>
          <w:rFonts w:hint="eastAsia" w:ascii="宋体" w:hAnsi="Calibri" w:cs="宋体"/>
          <w:b/>
          <w:bCs/>
          <w:color w:val="000000"/>
          <w:kern w:val="0"/>
          <w:sz w:val="32"/>
          <w:szCs w:val="32"/>
          <w:lang w:val="zh-CN"/>
        </w:rPr>
        <w:t>规划引导与产业融合</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s="Arial"/>
          <w:color w:val="000000"/>
          <w:sz w:val="32"/>
          <w:szCs w:val="32"/>
          <w:shd w:val="clear" w:color="auto" w:fill="FFFFFF"/>
        </w:rPr>
      </w:pPr>
      <w:r>
        <w:rPr>
          <w:rFonts w:hint="eastAsia" w:ascii="仿宋" w:hAnsi="Calibri" w:eastAsia="仿宋" w:cs="仿宋"/>
          <w:color w:val="000000"/>
          <w:kern w:val="0"/>
          <w:sz w:val="32"/>
          <w:szCs w:val="32"/>
          <w:lang w:val="zh-CN"/>
        </w:rPr>
        <w:t>第十条  市、区县</w:t>
      </w:r>
      <w:r>
        <w:rPr>
          <w:rFonts w:ascii="仿宋" w:hAnsi="仿宋" w:eastAsia="仿宋" w:cs="Arial"/>
          <w:color w:val="000000"/>
          <w:sz w:val="32"/>
          <w:szCs w:val="32"/>
          <w:shd w:val="clear" w:color="auto" w:fill="FFFFFF"/>
        </w:rPr>
        <w:t>人民政府应当组织旅游主管部门和其他有关部门对旅游资源进行普查、评估、登记，建立旅游资源信息库，协调旅游资源保护和开发利用。</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第十一条  市人民政府组织编制本市全域旅游发展规划，区县人民政府根据市全域旅游发展规划组织编制本行政区域内全域旅游发展规划。</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全域旅游发展规划应当与城乡规划、土地利用总体规划、风景名胜区总体规划、环境保护规划、饮用水源保护规划、林地保护与利用规划等相衔接。</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组织编制和修改城乡规划、土地利用总体规划、交通规划等，应当优先满足全域旅游发展需要，在土地利用、基础设施、公共服务设施等方面促进旅游项目、旅游设施、服务要素等发展；建设通讯、供水、电力、环保、文化体育和医疗卫生等基础设施和公共服务设施，应当统筹全域旅游发展需要。</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第十二条  编制和实施全域旅游发展规划，应当遵循严格保护、统一规划、整体布局、优化利用原则，体现本市自然资源和历史人文特征，以中心城区和武陵源风景名胜区为核心，优化旅游观光区、休闲度假区、旅游产业集聚区以及旅游综合体空间布局，促进各个主体景观带和旅游特色小镇、乡村旅游服务基地以及相关旅游产品差异化发展。</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第十三条  市、区县人民政府及其有关部门应当依照法定程序，对全域旅游发展规划的实施情况进行适时评估。</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spacing w:val="-9"/>
          <w:kern w:val="0"/>
          <w:sz w:val="32"/>
          <w:szCs w:val="32"/>
          <w:lang w:val="zh-CN"/>
        </w:rPr>
      </w:pPr>
      <w:r>
        <w:rPr>
          <w:rFonts w:hint="eastAsia" w:ascii="仿宋" w:hAnsi="Calibri" w:eastAsia="仿宋" w:cs="仿宋"/>
          <w:color w:val="000000"/>
          <w:spacing w:val="-9"/>
          <w:kern w:val="0"/>
          <w:sz w:val="32"/>
          <w:szCs w:val="32"/>
          <w:lang w:val="zh-CN"/>
        </w:rPr>
        <w:t>全域旅游发展规划需要修改的，应当报请原批准机关批准。</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第十四条  新建、改建、扩建旅游项目和旅游设施，应当符合全域旅游发展规划，并遵守城乡建设、环境保护等法律法规规定。</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投资主管部门审批</w:t>
      </w:r>
      <w:r>
        <w:rPr>
          <w:rFonts w:hint="eastAsia" w:ascii="仿宋" w:hAnsi="仿宋" w:eastAsia="仿宋"/>
          <w:color w:val="000000"/>
          <w:sz w:val="32"/>
          <w:szCs w:val="32"/>
        </w:rPr>
        <w:t>景区等重大旅游</w:t>
      </w:r>
      <w:r>
        <w:rPr>
          <w:rFonts w:hint="eastAsia" w:ascii="仿宋" w:hAnsi="Calibri" w:eastAsia="仿宋" w:cs="仿宋"/>
          <w:color w:val="000000"/>
          <w:kern w:val="0"/>
          <w:sz w:val="32"/>
          <w:szCs w:val="32"/>
          <w:lang w:val="zh-CN"/>
        </w:rPr>
        <w:t>建设项目时，应当告知旅游主管部门；召开相关的论证会、评审会等会议，应当通知旅游主管部门参加。</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 xml:space="preserve">第十五条  </w:t>
      </w:r>
      <w:r>
        <w:rPr>
          <w:rFonts w:hint="eastAsia" w:ascii="仿宋" w:hAnsi="仿宋" w:eastAsia="仿宋"/>
          <w:color w:val="000000"/>
          <w:sz w:val="32"/>
          <w:szCs w:val="32"/>
        </w:rPr>
        <w:t>国有旅游资源进行出让、转让、租赁、委托经营等，</w:t>
      </w:r>
      <w:r>
        <w:rPr>
          <w:rFonts w:hint="eastAsia" w:ascii="仿宋" w:hAnsi="仿宋" w:eastAsia="仿宋"/>
          <w:color w:val="000000"/>
          <w:sz w:val="32"/>
          <w:szCs w:val="32"/>
          <w:shd w:val="clear" w:color="auto" w:fill="FFFFFF"/>
        </w:rPr>
        <w:t>应当通过招标、拍卖等公平竞争的方式</w:t>
      </w:r>
      <w:r>
        <w:rPr>
          <w:rFonts w:hint="eastAsia" w:ascii="仿宋" w:hAnsi="仿宋" w:eastAsia="仿宋"/>
          <w:color w:val="000000"/>
          <w:sz w:val="32"/>
          <w:szCs w:val="32"/>
        </w:rPr>
        <w:t>进行，并</w:t>
      </w:r>
      <w:r>
        <w:rPr>
          <w:rFonts w:hint="eastAsia" w:ascii="仿宋" w:hAnsi="Calibri" w:eastAsia="仿宋" w:cs="仿宋"/>
          <w:color w:val="000000"/>
          <w:kern w:val="0"/>
          <w:sz w:val="32"/>
          <w:szCs w:val="32"/>
          <w:lang w:val="zh-CN"/>
        </w:rPr>
        <w:t>依照规定向市、区县人民代表大会常务委员会报告。</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前款规定的出让、转让、租赁、委托经营等合同的重大修改，依照重大行政决策制度的规定办理。</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仿宋" w:eastAsia="仿宋"/>
          <w:color w:val="000000"/>
          <w:sz w:val="32"/>
          <w:szCs w:val="32"/>
        </w:rPr>
        <w:t>第十六条</w:t>
      </w:r>
      <w:r>
        <w:rPr>
          <w:rFonts w:hint="eastAsia" w:ascii="仿宋" w:hAnsi="Calibri" w:eastAsia="仿宋" w:cs="仿宋"/>
          <w:color w:val="000000"/>
          <w:kern w:val="0"/>
          <w:sz w:val="32"/>
          <w:szCs w:val="32"/>
          <w:lang w:val="zh-CN"/>
        </w:rPr>
        <w:t xml:space="preserve">  </w:t>
      </w:r>
      <w:r>
        <w:rPr>
          <w:rFonts w:hint="eastAsia" w:ascii="仿宋" w:hAnsi="仿宋" w:eastAsia="仿宋"/>
          <w:color w:val="000000"/>
          <w:sz w:val="32"/>
          <w:szCs w:val="32"/>
        </w:rPr>
        <w:t>市、区县人民政府应当推进工业、农业、林业、商业、文化、体育、科技等资源开发，实现旅游业与相关产业融合，引导各类资本创新观光旅游、休闲旅游、体验旅游、乡村旅游、康养</w:t>
      </w:r>
      <w:r>
        <w:rPr>
          <w:rFonts w:hint="eastAsia" w:ascii="仿宋" w:hAnsi="仿宋" w:eastAsia="仿宋" w:cs="Arial"/>
          <w:color w:val="000000"/>
          <w:sz w:val="32"/>
          <w:szCs w:val="32"/>
          <w:shd w:val="clear" w:color="auto" w:fill="FFFFFF"/>
        </w:rPr>
        <w:t>旅游、红色旅游、民族风情旅游</w:t>
      </w:r>
      <w:r>
        <w:rPr>
          <w:rFonts w:hint="eastAsia" w:ascii="仿宋" w:hAnsi="仿宋" w:eastAsia="仿宋"/>
          <w:color w:val="000000"/>
          <w:sz w:val="32"/>
          <w:szCs w:val="32"/>
        </w:rPr>
        <w:t>等旅游产品，促进旅游相关</w:t>
      </w:r>
      <w:r>
        <w:rPr>
          <w:rFonts w:hint="eastAsia" w:ascii="仿宋" w:hAnsi="Calibri" w:eastAsia="仿宋" w:cs="仿宋"/>
          <w:color w:val="000000"/>
          <w:kern w:val="0"/>
          <w:sz w:val="32"/>
          <w:szCs w:val="32"/>
          <w:lang w:val="zh-CN"/>
        </w:rPr>
        <w:t>新业态发展。</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olor w:val="000000"/>
          <w:sz w:val="32"/>
          <w:szCs w:val="32"/>
          <w:shd w:val="clear" w:color="auto" w:fill="FFFFFF"/>
        </w:rPr>
      </w:pPr>
      <w:r>
        <w:rPr>
          <w:rFonts w:hint="eastAsia" w:ascii="仿宋" w:hAnsi="仿宋" w:eastAsia="仿宋"/>
          <w:color w:val="000000"/>
          <w:sz w:val="32"/>
          <w:szCs w:val="32"/>
        </w:rPr>
        <w:t>市、区县人民政府</w:t>
      </w:r>
      <w:r>
        <w:rPr>
          <w:rFonts w:hint="eastAsia" w:ascii="仿宋" w:hAnsi="仿宋" w:eastAsia="仿宋"/>
          <w:color w:val="000000"/>
          <w:sz w:val="32"/>
          <w:szCs w:val="32"/>
          <w:shd w:val="clear" w:color="auto" w:fill="FFFFFF"/>
        </w:rPr>
        <w:t>应当鼓励、支持本市历史文化和民俗文化的研究、保护和利用，推进</w:t>
      </w:r>
      <w:r>
        <w:rPr>
          <w:rFonts w:hint="eastAsia" w:ascii="仿宋" w:hAnsi="仿宋" w:eastAsia="仿宋" w:cs="Arial"/>
          <w:color w:val="000000"/>
          <w:sz w:val="32"/>
          <w:szCs w:val="32"/>
          <w:shd w:val="clear" w:color="auto" w:fill="FFFFFF"/>
        </w:rPr>
        <w:t>博物馆体系建设和展示服务，开发文化创意、演出演艺等旅游产品，促进本市各民族优秀传统文化与旅游融合发展</w:t>
      </w:r>
      <w:r>
        <w:rPr>
          <w:rFonts w:hint="eastAsia" w:ascii="仿宋" w:hAnsi="仿宋" w:eastAsia="仿宋"/>
          <w:color w:val="000000"/>
          <w:sz w:val="32"/>
          <w:szCs w:val="32"/>
          <w:shd w:val="clear" w:color="auto" w:fill="FFFFFF"/>
        </w:rPr>
        <w:t>。</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 xml:space="preserve">第十七条  </w:t>
      </w:r>
      <w:r>
        <w:rPr>
          <w:rFonts w:hint="eastAsia" w:ascii="仿宋" w:hAnsi="仿宋" w:eastAsia="仿宋"/>
          <w:color w:val="000000"/>
          <w:sz w:val="32"/>
          <w:szCs w:val="32"/>
        </w:rPr>
        <w:t>市、区县人民政府应当引导建立多元化的旅游产业体系，完善吃住行游购娱旅游要素产品链条，在旅游者集散地、景区、入境游集中地规划、设置购物和服务网点，培育精品特色商业街区，</w:t>
      </w:r>
      <w:r>
        <w:rPr>
          <w:rFonts w:hint="eastAsia" w:ascii="仿宋" w:hAnsi="Calibri" w:eastAsia="仿宋" w:cs="仿宋"/>
          <w:color w:val="000000"/>
          <w:kern w:val="0"/>
          <w:sz w:val="32"/>
          <w:szCs w:val="32"/>
          <w:lang w:val="zh-CN"/>
        </w:rPr>
        <w:t>建设旅游与休闲、娱乐、购物等功能相融合的空间载体。</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shd w:val="clear" w:color="auto" w:fill="FFFFFF"/>
        </w:rPr>
        <w:t>第十八条</w:t>
      </w:r>
      <w:r>
        <w:rPr>
          <w:rFonts w:hint="eastAsia" w:ascii="仿宋" w:hAnsi="Calibri" w:eastAsia="仿宋" w:cs="仿宋"/>
          <w:color w:val="000000"/>
          <w:kern w:val="0"/>
          <w:sz w:val="32"/>
          <w:szCs w:val="32"/>
          <w:lang w:val="zh-CN"/>
        </w:rPr>
        <w:t xml:space="preserve">  </w:t>
      </w:r>
      <w:r>
        <w:rPr>
          <w:rFonts w:hint="eastAsia" w:ascii="仿宋" w:hAnsi="仿宋" w:eastAsia="仿宋"/>
          <w:color w:val="000000"/>
          <w:sz w:val="32"/>
          <w:szCs w:val="32"/>
        </w:rPr>
        <w:t>市、区县人民政府应当制定扶持政策，鼓励旅游商品创意研发，培育体现张家界特色的旅游商品品牌，促进旅游商品的保护、研发、生产和销售。</w:t>
      </w: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宋体" w:hAnsi="Calibri" w:cs="宋体"/>
          <w:b/>
          <w:bCs/>
          <w:color w:val="000000"/>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Calibri" w:hAnsi="Calibri" w:cs="Calibri"/>
          <w:b/>
          <w:bCs/>
          <w:color w:val="000000"/>
          <w:kern w:val="0"/>
          <w:sz w:val="32"/>
          <w:szCs w:val="32"/>
          <w:lang w:val="zh-CN"/>
        </w:rPr>
      </w:pPr>
      <w:r>
        <w:rPr>
          <w:rFonts w:hint="eastAsia" w:ascii="宋体" w:hAnsi="Calibri" w:cs="宋体"/>
          <w:b/>
          <w:bCs/>
          <w:color w:val="000000"/>
          <w:kern w:val="0"/>
          <w:sz w:val="32"/>
          <w:szCs w:val="32"/>
          <w:lang w:val="zh-CN"/>
        </w:rPr>
        <w:t>第三章</w:t>
      </w:r>
      <w:r>
        <w:rPr>
          <w:rFonts w:ascii="Calibri" w:hAnsi="Calibri" w:cs="Calibri"/>
          <w:b/>
          <w:bCs/>
          <w:color w:val="000000"/>
          <w:kern w:val="0"/>
          <w:sz w:val="32"/>
          <w:szCs w:val="32"/>
          <w:lang w:val="zh-CN"/>
        </w:rPr>
        <w:t xml:space="preserve"> </w:t>
      </w:r>
      <w:r>
        <w:rPr>
          <w:rFonts w:hint="eastAsia" w:ascii="宋体" w:hAnsi="Calibri" w:cs="宋体"/>
          <w:b/>
          <w:bCs/>
          <w:color w:val="000000"/>
          <w:kern w:val="0"/>
          <w:sz w:val="32"/>
          <w:szCs w:val="32"/>
          <w:lang w:val="zh-CN"/>
        </w:rPr>
        <w:t>景区建设和管理</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第十九条  景区应当先规划，后建设。景区规划由规划主管部门会同景区主管部门、管理机构组织编制。</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景区规划应当包含景区界线外合理区域，景区内外规划内容应当统筹安排，并与城乡规划相衔接。</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编制景区规划，应当广泛征求相关部门、公众和专家的意见，进行多方案比较和论证；必要时，进行听证。</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spacing w:val="-6"/>
          <w:kern w:val="0"/>
          <w:sz w:val="32"/>
          <w:szCs w:val="32"/>
          <w:lang w:val="zh-CN"/>
        </w:rPr>
      </w:pPr>
      <w:r>
        <w:rPr>
          <w:rFonts w:hint="eastAsia" w:ascii="仿宋" w:hAnsi="Calibri" w:eastAsia="仿宋" w:cs="仿宋"/>
          <w:color w:val="000000"/>
          <w:kern w:val="0"/>
          <w:sz w:val="32"/>
          <w:szCs w:val="32"/>
          <w:lang w:val="zh-CN"/>
        </w:rPr>
        <w:t>第二十条  景区规划编制应当遵循保护优先、</w:t>
      </w:r>
      <w:r>
        <w:rPr>
          <w:rFonts w:hint="eastAsia" w:ascii="仿宋" w:hAnsi="Calibri" w:eastAsia="仿宋" w:cs="仿宋"/>
          <w:color w:val="000000"/>
          <w:spacing w:val="-6"/>
          <w:kern w:val="0"/>
          <w:sz w:val="32"/>
          <w:szCs w:val="32"/>
          <w:lang w:val="zh-CN"/>
        </w:rPr>
        <w:t>科学利用的原则，突出景区的自然特性、文化内涵和地方特色。</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景区规划一般应当包括下列内容：</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（一）</w:t>
      </w:r>
      <w:r>
        <w:rPr>
          <w:rFonts w:ascii="仿宋" w:hAnsi="Calibri" w:eastAsia="仿宋" w:cs="仿宋"/>
          <w:color w:val="000000"/>
          <w:kern w:val="0"/>
          <w:sz w:val="32"/>
          <w:szCs w:val="32"/>
          <w:lang w:val="zh-CN"/>
        </w:rPr>
        <w:fldChar w:fldCharType="begin"/>
      </w:r>
      <w:r>
        <w:rPr>
          <w:rFonts w:ascii="仿宋" w:hAnsi="Calibri" w:eastAsia="仿宋" w:cs="仿宋"/>
          <w:color w:val="000000"/>
          <w:kern w:val="0"/>
          <w:sz w:val="32"/>
          <w:szCs w:val="32"/>
          <w:lang w:val="zh-CN"/>
        </w:rPr>
        <w:instrText xml:space="preserve"> HYPERLINK "https://baike.baidu.com/item/%E9%A3%8E%E6%99%AF%E8%B5%84%E6%BA%90" </w:instrText>
      </w:r>
      <w:r>
        <w:rPr>
          <w:rFonts w:ascii="仿宋" w:hAnsi="Calibri" w:eastAsia="仿宋" w:cs="仿宋"/>
          <w:color w:val="000000"/>
          <w:kern w:val="0"/>
          <w:sz w:val="32"/>
          <w:szCs w:val="32"/>
          <w:lang w:val="zh-CN"/>
        </w:rPr>
        <w:fldChar w:fldCharType="separate"/>
      </w:r>
      <w:r>
        <w:rPr>
          <w:rStyle w:val="6"/>
          <w:rFonts w:hint="eastAsia" w:ascii="仿宋" w:hAnsi="Calibri" w:eastAsia="仿宋" w:cs="仿宋"/>
          <w:color w:val="000000"/>
          <w:kern w:val="0"/>
          <w:sz w:val="32"/>
          <w:szCs w:val="32"/>
          <w:u w:val="none"/>
          <w:lang w:val="zh-CN"/>
        </w:rPr>
        <w:t>景</w:t>
      </w:r>
      <w:r>
        <w:rPr>
          <w:rFonts w:ascii="仿宋" w:hAnsi="Calibri" w:eastAsia="仿宋" w:cs="仿宋"/>
          <w:color w:val="000000"/>
          <w:kern w:val="0"/>
          <w:sz w:val="32"/>
          <w:szCs w:val="32"/>
          <w:lang w:val="zh-CN"/>
        </w:rPr>
        <w:fldChar w:fldCharType="end"/>
      </w:r>
      <w:r>
        <w:rPr>
          <w:rFonts w:ascii="仿宋" w:hAnsi="Calibri" w:eastAsia="仿宋" w:cs="仿宋"/>
          <w:color w:val="000000"/>
          <w:kern w:val="0"/>
          <w:sz w:val="32"/>
          <w:szCs w:val="32"/>
          <w:lang w:val="zh-CN"/>
        </w:rPr>
        <w:fldChar w:fldCharType="begin"/>
      </w:r>
      <w:r>
        <w:rPr>
          <w:rFonts w:ascii="仿宋" w:hAnsi="Calibri" w:eastAsia="仿宋" w:cs="仿宋"/>
          <w:color w:val="000000"/>
          <w:kern w:val="0"/>
          <w:sz w:val="32"/>
          <w:szCs w:val="32"/>
          <w:lang w:val="zh-CN"/>
        </w:rPr>
        <w:instrText xml:space="preserve"> HYPERLINK "https://baike.baidu.com/item/%E9%A3%8E%E6%99%AF%E8%B5%84%E6%BA%90" </w:instrText>
      </w:r>
      <w:r>
        <w:rPr>
          <w:rFonts w:ascii="仿宋" w:hAnsi="Calibri" w:eastAsia="仿宋" w:cs="仿宋"/>
          <w:color w:val="000000"/>
          <w:kern w:val="0"/>
          <w:sz w:val="32"/>
          <w:szCs w:val="32"/>
          <w:lang w:val="zh-CN"/>
        </w:rPr>
        <w:fldChar w:fldCharType="separate"/>
      </w:r>
      <w:r>
        <w:rPr>
          <w:rStyle w:val="6"/>
          <w:rFonts w:hint="eastAsia" w:ascii="仿宋" w:hAnsi="Calibri" w:eastAsia="仿宋" w:cs="仿宋"/>
          <w:color w:val="000000"/>
          <w:kern w:val="0"/>
          <w:sz w:val="32"/>
          <w:szCs w:val="32"/>
          <w:u w:val="none"/>
          <w:lang w:val="zh-CN"/>
        </w:rPr>
        <w:t>区</w:t>
      </w:r>
      <w:r>
        <w:rPr>
          <w:rFonts w:ascii="仿宋" w:hAnsi="Calibri" w:eastAsia="仿宋" w:cs="仿宋"/>
          <w:color w:val="000000"/>
          <w:kern w:val="0"/>
          <w:sz w:val="32"/>
          <w:szCs w:val="32"/>
          <w:lang w:val="zh-CN"/>
        </w:rPr>
        <w:fldChar w:fldCharType="end"/>
      </w:r>
      <w:r>
        <w:rPr>
          <w:rFonts w:ascii="仿宋" w:hAnsi="Calibri" w:eastAsia="仿宋" w:cs="仿宋"/>
          <w:color w:val="000000"/>
          <w:kern w:val="0"/>
          <w:sz w:val="32"/>
          <w:szCs w:val="32"/>
          <w:lang w:val="zh-CN"/>
        </w:rPr>
        <w:fldChar w:fldCharType="begin"/>
      </w:r>
      <w:r>
        <w:rPr>
          <w:rFonts w:ascii="仿宋" w:hAnsi="Calibri" w:eastAsia="仿宋" w:cs="仿宋"/>
          <w:color w:val="000000"/>
          <w:kern w:val="0"/>
          <w:sz w:val="32"/>
          <w:szCs w:val="32"/>
          <w:lang w:val="zh-CN"/>
        </w:rPr>
        <w:instrText xml:space="preserve"> HYPERLINK "https://baike.baidu.com/item/%E9%A3%8E%E6%99%AF%E8%B5%84%E6%BA%90" </w:instrText>
      </w:r>
      <w:r>
        <w:rPr>
          <w:rFonts w:ascii="仿宋" w:hAnsi="Calibri" w:eastAsia="仿宋" w:cs="仿宋"/>
          <w:color w:val="000000"/>
          <w:kern w:val="0"/>
          <w:sz w:val="32"/>
          <w:szCs w:val="32"/>
          <w:lang w:val="zh-CN"/>
        </w:rPr>
        <w:fldChar w:fldCharType="separate"/>
      </w:r>
      <w:r>
        <w:rPr>
          <w:rStyle w:val="6"/>
          <w:rFonts w:hint="eastAsia" w:ascii="仿宋" w:hAnsi="Calibri" w:eastAsia="仿宋" w:cs="仿宋"/>
          <w:color w:val="000000"/>
          <w:kern w:val="0"/>
          <w:sz w:val="32"/>
          <w:szCs w:val="32"/>
          <w:u w:val="none"/>
          <w:lang w:val="zh-CN"/>
        </w:rPr>
        <w:t>资源</w:t>
      </w:r>
      <w:r>
        <w:rPr>
          <w:rFonts w:ascii="仿宋" w:hAnsi="Calibri" w:eastAsia="仿宋" w:cs="仿宋"/>
          <w:color w:val="000000"/>
          <w:kern w:val="0"/>
          <w:sz w:val="32"/>
          <w:szCs w:val="32"/>
          <w:lang w:val="zh-CN"/>
        </w:rPr>
        <w:fldChar w:fldCharType="end"/>
      </w:r>
      <w:r>
        <w:rPr>
          <w:rFonts w:hint="eastAsia" w:ascii="仿宋" w:hAnsi="Calibri" w:eastAsia="仿宋" w:cs="仿宋"/>
          <w:color w:val="000000"/>
          <w:kern w:val="0"/>
          <w:sz w:val="32"/>
          <w:szCs w:val="32"/>
          <w:lang w:val="zh-CN"/>
        </w:rPr>
        <w:t>评价；</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（二）景区安全评价;</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（三）资源环境保护措施、</w:t>
      </w:r>
      <w:r>
        <w:rPr>
          <w:rFonts w:ascii="仿宋" w:hAnsi="Calibri" w:eastAsia="仿宋" w:cs="仿宋"/>
          <w:color w:val="000000"/>
          <w:kern w:val="0"/>
          <w:sz w:val="32"/>
          <w:szCs w:val="32"/>
          <w:lang w:val="zh-CN"/>
        </w:rPr>
        <w:fldChar w:fldCharType="begin"/>
      </w:r>
      <w:r>
        <w:rPr>
          <w:rFonts w:ascii="仿宋" w:hAnsi="Calibri" w:eastAsia="仿宋" w:cs="仿宋"/>
          <w:color w:val="000000"/>
          <w:kern w:val="0"/>
          <w:sz w:val="32"/>
          <w:szCs w:val="32"/>
          <w:lang w:val="zh-CN"/>
        </w:rPr>
        <w:instrText xml:space="preserve"> HYPERLINK "https://baike.baidu.com/item/%E9%87%8D%E5%A4%A7%E5%BB%BA%E8%AE%BE%E9%A1%B9%E7%9B%AE" </w:instrText>
      </w:r>
      <w:r>
        <w:rPr>
          <w:rFonts w:ascii="仿宋" w:hAnsi="Calibri" w:eastAsia="仿宋" w:cs="仿宋"/>
          <w:color w:val="000000"/>
          <w:kern w:val="0"/>
          <w:sz w:val="32"/>
          <w:szCs w:val="32"/>
          <w:lang w:val="zh-CN"/>
        </w:rPr>
        <w:fldChar w:fldCharType="separate"/>
      </w:r>
      <w:r>
        <w:rPr>
          <w:rStyle w:val="6"/>
          <w:rFonts w:hint="eastAsia" w:ascii="仿宋" w:hAnsi="Calibri" w:eastAsia="仿宋" w:cs="仿宋"/>
          <w:color w:val="000000"/>
          <w:kern w:val="0"/>
          <w:sz w:val="32"/>
          <w:szCs w:val="32"/>
          <w:u w:val="none"/>
          <w:lang w:val="zh-CN"/>
        </w:rPr>
        <w:t>重大建设项目</w:t>
      </w:r>
      <w:r>
        <w:rPr>
          <w:rFonts w:ascii="仿宋" w:hAnsi="Calibri" w:eastAsia="仿宋" w:cs="仿宋"/>
          <w:color w:val="000000"/>
          <w:kern w:val="0"/>
          <w:sz w:val="32"/>
          <w:szCs w:val="32"/>
          <w:lang w:val="zh-CN"/>
        </w:rPr>
        <w:fldChar w:fldCharType="end"/>
      </w:r>
      <w:r>
        <w:rPr>
          <w:rFonts w:hint="eastAsia" w:ascii="仿宋" w:hAnsi="Calibri" w:eastAsia="仿宋" w:cs="仿宋"/>
          <w:color w:val="000000"/>
          <w:kern w:val="0"/>
          <w:sz w:val="32"/>
          <w:szCs w:val="32"/>
          <w:lang w:val="zh-CN"/>
        </w:rPr>
        <w:t>布局、开发利用强度；</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（四）景区的功能结构和空间布局；</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（五）禁止开发、建设和限制开发、建设的范围；</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（六）景区的最大承载量；</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（七）其他有关</w:t>
      </w:r>
      <w:r>
        <w:rPr>
          <w:rFonts w:ascii="仿宋" w:hAnsi="Calibri" w:eastAsia="仿宋" w:cs="仿宋"/>
          <w:color w:val="000000"/>
          <w:kern w:val="0"/>
          <w:sz w:val="32"/>
          <w:szCs w:val="32"/>
          <w:lang w:val="zh-CN"/>
        </w:rPr>
        <w:fldChar w:fldCharType="begin"/>
      </w:r>
      <w:r>
        <w:rPr>
          <w:rFonts w:ascii="仿宋" w:hAnsi="Calibri" w:eastAsia="仿宋" w:cs="仿宋"/>
          <w:color w:val="000000"/>
          <w:kern w:val="0"/>
          <w:sz w:val="32"/>
          <w:szCs w:val="32"/>
          <w:lang w:val="zh-CN"/>
        </w:rPr>
        <w:instrText xml:space="preserve"> HYPERLINK "https://baike.baidu.com/item/%E4%B8%93%E9%A1%B9%E8%A7%84%E5%88%92" </w:instrText>
      </w:r>
      <w:r>
        <w:rPr>
          <w:rFonts w:ascii="仿宋" w:hAnsi="Calibri" w:eastAsia="仿宋" w:cs="仿宋"/>
          <w:color w:val="000000"/>
          <w:kern w:val="0"/>
          <w:sz w:val="32"/>
          <w:szCs w:val="32"/>
          <w:lang w:val="zh-CN"/>
        </w:rPr>
        <w:fldChar w:fldCharType="separate"/>
      </w:r>
      <w:r>
        <w:rPr>
          <w:rStyle w:val="6"/>
          <w:rFonts w:hint="eastAsia" w:ascii="仿宋" w:hAnsi="Calibri" w:eastAsia="仿宋" w:cs="仿宋"/>
          <w:color w:val="000000"/>
          <w:kern w:val="0"/>
          <w:sz w:val="32"/>
          <w:szCs w:val="32"/>
          <w:u w:val="none"/>
          <w:lang w:val="zh-CN"/>
        </w:rPr>
        <w:t>规划</w:t>
      </w:r>
      <w:r>
        <w:rPr>
          <w:rFonts w:ascii="仿宋" w:hAnsi="Calibri" w:eastAsia="仿宋" w:cs="仿宋"/>
          <w:color w:val="000000"/>
          <w:kern w:val="0"/>
          <w:sz w:val="32"/>
          <w:szCs w:val="32"/>
          <w:lang w:val="zh-CN"/>
        </w:rPr>
        <w:fldChar w:fldCharType="end"/>
      </w:r>
      <w:r>
        <w:rPr>
          <w:rFonts w:hint="eastAsia" w:ascii="仿宋" w:hAnsi="Calibri" w:eastAsia="仿宋" w:cs="仿宋"/>
          <w:color w:val="000000"/>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eastAsia="仿宋" w:cs="仿宋"/>
          <w:color w:val="000000"/>
          <w:kern w:val="0"/>
          <w:sz w:val="32"/>
          <w:szCs w:val="32"/>
          <w:lang w:val="zh-CN"/>
        </w:rPr>
      </w:pPr>
      <w:r>
        <w:rPr>
          <w:rFonts w:hint="eastAsia" w:ascii="仿宋" w:eastAsia="仿宋" w:cs="仿宋"/>
          <w:color w:val="000000"/>
          <w:kern w:val="0"/>
          <w:sz w:val="32"/>
          <w:szCs w:val="32"/>
          <w:lang w:val="zh-CN"/>
        </w:rPr>
        <w:t>第二十一条  景区应当根据最大承载量，规划、配备以下必要设施：</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eastAsia="仿宋" w:cs="仿宋"/>
          <w:color w:val="000000"/>
          <w:kern w:val="0"/>
          <w:sz w:val="32"/>
          <w:szCs w:val="32"/>
          <w:lang w:val="zh-CN"/>
        </w:rPr>
      </w:pPr>
      <w:r>
        <w:rPr>
          <w:rFonts w:hint="eastAsia" w:ascii="仿宋" w:eastAsia="仿宋" w:cs="仿宋"/>
          <w:color w:val="000000"/>
          <w:kern w:val="0"/>
          <w:sz w:val="32"/>
          <w:szCs w:val="32"/>
          <w:lang w:val="zh-CN"/>
        </w:rPr>
        <w:t>（一）供水、排水、供电设施；</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eastAsia="仿宋" w:cs="仿宋"/>
          <w:color w:val="000000"/>
          <w:kern w:val="0"/>
          <w:sz w:val="32"/>
          <w:szCs w:val="32"/>
          <w:lang w:val="zh-CN"/>
        </w:rPr>
      </w:pPr>
      <w:r>
        <w:rPr>
          <w:rFonts w:hint="eastAsia" w:ascii="仿宋" w:eastAsia="仿宋" w:cs="仿宋"/>
          <w:color w:val="000000"/>
          <w:kern w:val="0"/>
          <w:sz w:val="32"/>
          <w:szCs w:val="32"/>
          <w:lang w:val="zh-CN"/>
        </w:rPr>
        <w:t>（二）停车场，环境卫生设施；</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eastAsia="仿宋" w:cs="仿宋"/>
          <w:color w:val="000000"/>
          <w:kern w:val="0"/>
          <w:sz w:val="32"/>
          <w:szCs w:val="32"/>
          <w:lang w:val="zh-CN"/>
        </w:rPr>
      </w:pPr>
      <w:r>
        <w:rPr>
          <w:rFonts w:hint="eastAsia" w:ascii="仿宋" w:eastAsia="仿宋" w:cs="仿宋"/>
          <w:color w:val="000000"/>
          <w:kern w:val="0"/>
          <w:sz w:val="32"/>
          <w:szCs w:val="32"/>
          <w:lang w:val="zh-CN"/>
        </w:rPr>
        <w:t>（三）消防和其他安全设施；</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eastAsia="仿宋" w:cs="仿宋"/>
          <w:color w:val="000000"/>
          <w:kern w:val="0"/>
          <w:sz w:val="32"/>
          <w:szCs w:val="32"/>
          <w:lang w:val="zh-CN"/>
        </w:rPr>
      </w:pPr>
      <w:r>
        <w:rPr>
          <w:rFonts w:hint="eastAsia" w:ascii="仿宋" w:eastAsia="仿宋" w:cs="仿宋"/>
          <w:color w:val="000000"/>
          <w:kern w:val="0"/>
          <w:sz w:val="32"/>
          <w:szCs w:val="32"/>
          <w:lang w:val="zh-CN"/>
        </w:rPr>
        <w:t>（四）国际通用的游览标识、引导系统；</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s="仿宋"/>
          <w:color w:val="000000"/>
          <w:kern w:val="0"/>
          <w:sz w:val="32"/>
          <w:szCs w:val="32"/>
          <w:lang w:val="zh-CN"/>
        </w:rPr>
      </w:pPr>
      <w:r>
        <w:rPr>
          <w:rFonts w:hint="eastAsia" w:ascii="仿宋" w:hAnsi="仿宋" w:eastAsia="仿宋" w:cs="仿宋"/>
          <w:color w:val="000000"/>
          <w:kern w:val="0"/>
          <w:sz w:val="32"/>
          <w:szCs w:val="32"/>
          <w:lang w:val="zh-CN"/>
        </w:rPr>
        <w:t>（五）法律法规规章规定的其他必要设施。</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olor w:val="000000"/>
          <w:sz w:val="32"/>
          <w:szCs w:val="32"/>
        </w:rPr>
      </w:pPr>
      <w:r>
        <w:rPr>
          <w:rFonts w:hint="eastAsia" w:ascii="仿宋" w:hAnsi="仿宋" w:eastAsia="仿宋" w:cs="仿宋"/>
          <w:color w:val="000000"/>
          <w:kern w:val="0"/>
          <w:sz w:val="32"/>
          <w:szCs w:val="32"/>
          <w:lang w:val="zh-CN"/>
        </w:rPr>
        <w:t>景区应当建设具备</w:t>
      </w:r>
      <w:r>
        <w:rPr>
          <w:rFonts w:hint="eastAsia" w:ascii="仿宋" w:hAnsi="仿宋" w:eastAsia="仿宋"/>
          <w:color w:val="000000"/>
          <w:sz w:val="32"/>
          <w:szCs w:val="32"/>
        </w:rPr>
        <w:t>宣传推介、</w:t>
      </w:r>
      <w:r>
        <w:rPr>
          <w:rFonts w:ascii="仿宋" w:hAnsi="仿宋" w:eastAsia="仿宋"/>
          <w:color w:val="000000"/>
          <w:sz w:val="32"/>
          <w:szCs w:val="32"/>
        </w:rPr>
        <w:fldChar w:fldCharType="begin"/>
      </w:r>
      <w:r>
        <w:rPr>
          <w:rFonts w:ascii="仿宋" w:hAnsi="仿宋" w:eastAsia="仿宋"/>
          <w:color w:val="000000"/>
          <w:sz w:val="32"/>
          <w:szCs w:val="32"/>
        </w:rPr>
        <w:instrText xml:space="preserve"> HYPERLINK "https://www.baidu.com/s?wd=%E5%AF%BC%E6%B8%B8%E6%9C%8D%E5%8A%A1&amp;tn=44039180_cpr&amp;fenlei=mv6quAkxTZn0IZRqIHckPjm4nH00T1dBnhDLPAmsmH-Brj-hnhnY0ZwV5Hcvrjm3rH6sPfKWUMw85HfYnjn4nH6sgvPsT6KdThsqpZwYTjCEQLGCpyw9Uz4Bmy-bIi4WUvYETgN-TLwGUv3EPjnsnWbzn6" \t "_blank" </w:instrText>
      </w:r>
      <w:r>
        <w:rPr>
          <w:rFonts w:ascii="仿宋" w:hAnsi="仿宋" w:eastAsia="仿宋"/>
          <w:color w:val="000000"/>
          <w:sz w:val="32"/>
          <w:szCs w:val="32"/>
        </w:rPr>
        <w:fldChar w:fldCharType="separate"/>
      </w:r>
      <w:r>
        <w:rPr>
          <w:rStyle w:val="6"/>
          <w:rFonts w:hint="eastAsia" w:ascii="仿宋" w:hAnsi="仿宋" w:eastAsia="仿宋" w:cs="Arial"/>
          <w:color w:val="000000"/>
          <w:sz w:val="32"/>
          <w:szCs w:val="32"/>
          <w:u w:val="none"/>
        </w:rPr>
        <w:t>导游服务</w:t>
      </w:r>
      <w:r>
        <w:rPr>
          <w:rFonts w:ascii="仿宋" w:hAnsi="仿宋" w:eastAsia="仿宋"/>
          <w:color w:val="000000"/>
          <w:sz w:val="32"/>
          <w:szCs w:val="32"/>
        </w:rPr>
        <w:fldChar w:fldCharType="end"/>
      </w:r>
      <w:r>
        <w:rPr>
          <w:rFonts w:hint="eastAsia" w:ascii="仿宋" w:hAnsi="仿宋" w:eastAsia="仿宋"/>
          <w:color w:val="000000"/>
          <w:sz w:val="32"/>
          <w:szCs w:val="32"/>
        </w:rPr>
        <w:t>、集散换乘、咨询投诉、医务救助等功能的游客服务中心，为旅游者提供综合性服务。</w:t>
      </w:r>
    </w:p>
    <w:p>
      <w:pPr>
        <w:keepNext w:val="0"/>
        <w:keepLines w:val="0"/>
        <w:pageBreakBefore w:val="0"/>
        <w:widowControl w:val="0"/>
        <w:kinsoku/>
        <w:wordWrap/>
        <w:overflowPunct/>
        <w:topLinePunct w:val="0"/>
        <w:bidi w:val="0"/>
        <w:spacing w:line="580" w:lineRule="exact"/>
        <w:ind w:firstLine="57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景区应当按照国家标准，建设数量充足、干净卫生、免费使用的厕所。</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第二十二条  景区规划依照法定权限由市、区县人民政府审批；跨区县行政区域的景区或者景区涉及重大建设项目的，由市人民政府审批；涉及风景名胜区、自然保护区等的，按照相关法律法规规定办理。</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仿宋" w:eastAsia="仿宋"/>
          <w:color w:val="000000"/>
          <w:sz w:val="32"/>
          <w:szCs w:val="32"/>
        </w:rPr>
        <w:t>景区规划经批准后，应当向社会公布，任何组织和个人有权查阅。</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olor w:val="000000"/>
          <w:spacing w:val="-6"/>
          <w:sz w:val="32"/>
          <w:szCs w:val="32"/>
        </w:rPr>
      </w:pPr>
      <w:r>
        <w:rPr>
          <w:rFonts w:hint="eastAsia" w:ascii="仿宋" w:hAnsi="Calibri" w:eastAsia="仿宋" w:cs="仿宋"/>
          <w:color w:val="000000"/>
          <w:kern w:val="0"/>
          <w:sz w:val="32"/>
          <w:szCs w:val="32"/>
          <w:lang w:val="zh-CN"/>
        </w:rPr>
        <w:t xml:space="preserve">第二十三条  </w:t>
      </w:r>
      <w:r>
        <w:rPr>
          <w:rFonts w:hint="eastAsia" w:ascii="仿宋" w:hAnsi="仿宋" w:eastAsia="仿宋" w:cs="Arial"/>
          <w:color w:val="000000"/>
          <w:sz w:val="32"/>
          <w:szCs w:val="32"/>
          <w:shd w:val="clear" w:color="auto" w:fill="FFFFFF"/>
        </w:rPr>
        <w:t>任何单位和个人都应当遵守经依法批准并公布的景区规划，服从规划管理，并有权就涉及其利害关</w:t>
      </w:r>
      <w:r>
        <w:rPr>
          <w:rFonts w:hint="eastAsia" w:ascii="仿宋" w:hAnsi="仿宋" w:eastAsia="仿宋" w:cs="Arial"/>
          <w:color w:val="000000"/>
          <w:spacing w:val="-6"/>
          <w:sz w:val="32"/>
          <w:szCs w:val="32"/>
          <w:shd w:val="clear" w:color="auto" w:fill="FFFFFF"/>
        </w:rPr>
        <w:t>系的建设活动是否符合规划的要求向城乡规划主管部门查询。</w:t>
      </w:r>
    </w:p>
    <w:p>
      <w:pPr>
        <w:keepNext w:val="0"/>
        <w:keepLines w:val="0"/>
        <w:pageBreakBefore w:val="0"/>
        <w:widowControl w:val="0"/>
        <w:kinsoku/>
        <w:wordWrap/>
        <w:overflowPunct/>
        <w:topLinePunct w:val="0"/>
        <w:autoSpaceDE w:val="0"/>
        <w:autoSpaceDN w:val="0"/>
        <w:bidi w:val="0"/>
        <w:adjustRightInd w:val="0"/>
        <w:spacing w:line="580" w:lineRule="exact"/>
        <w:ind w:firstLine="640" w:firstLineChars="200"/>
        <w:textAlignment w:val="auto"/>
        <w:outlineLvl w:val="9"/>
        <w:rPr>
          <w:rFonts w:hint="eastAsia" w:ascii="仿宋" w:hAnsi="仿宋" w:eastAsia="仿宋" w:cs="仿宋"/>
          <w:color w:val="000000"/>
          <w:kern w:val="0"/>
          <w:sz w:val="32"/>
          <w:szCs w:val="32"/>
          <w:lang w:val="zh-CN"/>
        </w:rPr>
      </w:pPr>
      <w:r>
        <w:rPr>
          <w:rFonts w:hint="eastAsia" w:ascii="仿宋" w:hAnsi="Calibri" w:eastAsia="仿宋" w:cs="仿宋"/>
          <w:color w:val="000000"/>
          <w:kern w:val="0"/>
          <w:sz w:val="32"/>
          <w:szCs w:val="32"/>
          <w:lang w:val="zh-CN"/>
        </w:rPr>
        <w:t>不符合景区规划的建筑物、构筑物和其他设施，应当依法逐步改造、搬迁或者拆除。</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kern w:val="0"/>
          <w:sz w:val="32"/>
          <w:szCs w:val="32"/>
          <w:lang w:val="zh-CN"/>
        </w:rPr>
      </w:pPr>
      <w:r>
        <w:rPr>
          <w:rFonts w:hint="eastAsia" w:ascii="仿宋" w:hAnsi="仿宋" w:eastAsia="仿宋"/>
          <w:color w:val="000000"/>
          <w:kern w:val="0"/>
          <w:sz w:val="32"/>
          <w:szCs w:val="32"/>
          <w:lang w:val="zh-CN"/>
        </w:rPr>
        <w:t>第二十四条  依法保护景区内的土地、森林等资源和房屋等财产的所有权人、使用权人等的合法权益,因景区建设需要征收、征用的，对相关权利人应当依法给予补偿；对权利人的合法权益造成损害的，应当依法赔偿。</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kern w:val="0"/>
          <w:sz w:val="32"/>
          <w:szCs w:val="32"/>
        </w:rPr>
        <w:t>第二十五条  景区建设</w:t>
      </w:r>
      <w:r>
        <w:rPr>
          <w:rFonts w:hint="eastAsia" w:ascii="仿宋" w:hAnsi="仿宋" w:eastAsia="仿宋"/>
          <w:color w:val="000000"/>
          <w:sz w:val="32"/>
          <w:szCs w:val="32"/>
        </w:rPr>
        <w:t>应当依法进行环境影响评价，制定资源环境保护和治理修复方案，实现可持续发展。</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利用自然资源开发的景区及其规划确定的外围地带，应当加强旅游资源和生态环境保护，不得破坏生态、污染环境、毁损景观；利用人文资源开发的景区，应当保持其特有的民族特色和历史风貌，不得擅自维修、改建、迁移和拆除。</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景区主管部门和管理机构、景区经营者应当建立景区资源保护管理制度和技术规范，对景区内的文物古迹、古树名木、野生动植物资源、特殊地质地貌等进行调查、鉴定、登记，建立纸质和电子图文档案，落实保护措施。</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s="Arial"/>
          <w:color w:val="000000"/>
          <w:sz w:val="32"/>
          <w:szCs w:val="32"/>
          <w:shd w:val="clear" w:color="auto" w:fill="FFFFFF"/>
        </w:rPr>
      </w:pPr>
      <w:r>
        <w:rPr>
          <w:rFonts w:hint="eastAsia" w:ascii="仿宋" w:hAnsi="仿宋" w:eastAsia="仿宋"/>
          <w:color w:val="000000"/>
          <w:sz w:val="32"/>
          <w:szCs w:val="32"/>
        </w:rPr>
        <w:t xml:space="preserve">第二十六条  </w:t>
      </w:r>
      <w:r>
        <w:rPr>
          <w:rFonts w:hint="eastAsia" w:ascii="仿宋" w:hAnsi="Calibri" w:eastAsia="仿宋" w:cs="仿宋"/>
          <w:color w:val="000000"/>
          <w:kern w:val="0"/>
          <w:sz w:val="32"/>
          <w:szCs w:val="32"/>
          <w:lang w:val="zh-CN"/>
        </w:rPr>
        <w:t>利用自然文化遗产、风景名胜区、重点文物保护单位以及其他公共资源开发、经营景区，以及在景区内进行经营活动的，</w:t>
      </w:r>
      <w:r>
        <w:rPr>
          <w:rFonts w:hint="eastAsia" w:ascii="仿宋" w:hAnsi="仿宋" w:eastAsia="仿宋" w:cs="Arial"/>
          <w:color w:val="000000"/>
          <w:sz w:val="32"/>
          <w:szCs w:val="32"/>
          <w:shd w:val="clear" w:color="auto" w:fill="FFFFFF"/>
        </w:rPr>
        <w:t>应当缴纳资源有偿使用费。具体办法由市人民政府制定</w:t>
      </w:r>
      <w:r>
        <w:rPr>
          <w:rFonts w:hint="eastAsia" w:ascii="仿宋" w:hAnsi="仿宋" w:eastAsia="仿宋"/>
          <w:color w:val="000000"/>
          <w:sz w:val="32"/>
          <w:szCs w:val="32"/>
        </w:rPr>
        <w:t>。</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资源有偿使用费应当用于景区资源的管理和保护，以及景区内资源和财产的相关权利人损失的补偿。</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第二十七条  利用公共资源建设的景区门票价格实行政府定价和指导价，非利用公共资源建设的景区实行市场调节价；景区必须在醒目位置公布门票价格。</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仿宋" w:eastAsia="仿宋"/>
          <w:color w:val="000000"/>
          <w:sz w:val="32"/>
          <w:szCs w:val="32"/>
        </w:rPr>
        <w:t>景区经营者应当推行门票网络预约、预售制度，预约人数接近景区最大承载量时，应当及时发布预警信息。</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未经法定许可，景区内不得设置另行收取门票的游览场所和区域。</w:t>
      </w: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宋体" w:hAnsi="Calibri" w:cs="宋体"/>
          <w:b/>
          <w:bCs/>
          <w:color w:val="000000"/>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Calibri" w:hAnsi="Calibri" w:cs="Calibri"/>
          <w:b/>
          <w:bCs/>
          <w:color w:val="000000"/>
          <w:kern w:val="0"/>
          <w:sz w:val="32"/>
          <w:szCs w:val="32"/>
          <w:lang w:val="zh-CN"/>
        </w:rPr>
      </w:pPr>
      <w:r>
        <w:rPr>
          <w:rFonts w:hint="eastAsia" w:ascii="宋体" w:hAnsi="Calibri" w:cs="宋体"/>
          <w:b/>
          <w:bCs/>
          <w:color w:val="000000"/>
          <w:kern w:val="0"/>
          <w:sz w:val="32"/>
          <w:szCs w:val="32"/>
          <w:lang w:val="zh-CN"/>
        </w:rPr>
        <w:t>第四章</w:t>
      </w:r>
      <w:r>
        <w:rPr>
          <w:rFonts w:ascii="Calibri" w:hAnsi="Calibri" w:cs="Calibri"/>
          <w:b/>
          <w:bCs/>
          <w:color w:val="000000"/>
          <w:kern w:val="0"/>
          <w:sz w:val="32"/>
          <w:szCs w:val="32"/>
          <w:lang w:val="zh-CN"/>
        </w:rPr>
        <w:t xml:space="preserve"> </w:t>
      </w:r>
      <w:r>
        <w:rPr>
          <w:rFonts w:hint="eastAsia" w:ascii="宋体" w:hAnsi="Calibri" w:cs="宋体"/>
          <w:b/>
          <w:bCs/>
          <w:color w:val="000000"/>
          <w:kern w:val="0"/>
          <w:sz w:val="32"/>
          <w:szCs w:val="32"/>
          <w:lang w:val="zh-CN"/>
        </w:rPr>
        <w:t>乡村旅游</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第二十八条  各级人民政府应当将乡村旅游纳入小城镇建设体系，促进乡村旅游设施建设与乡村振兴、城镇建设、城乡一体化建设相配套，依法使用相关建设项目资金开发乡村旅游项目。</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第二十九条  各级人民政府应当结合实际，开发地域文化浓郁、生态环境良好、具有旅游价值的古村落、古民居和民俗节庆等旅游资源，建设个性化景观旅游村寨。</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第三十条</w:t>
      </w:r>
      <w:r>
        <w:rPr>
          <w:rFonts w:hint="eastAsia" w:ascii="仿宋" w:hAnsi="Calibri" w:eastAsia="仿宋" w:cs="仿宋"/>
          <w:color w:val="000000"/>
          <w:kern w:val="0"/>
          <w:sz w:val="32"/>
          <w:szCs w:val="32"/>
          <w:lang w:val="zh-CN"/>
        </w:rPr>
        <w:t xml:space="preserve">  鼓励、</w:t>
      </w:r>
      <w:r>
        <w:rPr>
          <w:rFonts w:hint="eastAsia" w:ascii="仿宋" w:hAnsi="仿宋" w:eastAsia="仿宋"/>
          <w:color w:val="000000"/>
          <w:sz w:val="32"/>
          <w:szCs w:val="32"/>
        </w:rPr>
        <w:t>支持社会资本依法通过租赁、承包、合作、入股等方式，对旅游资源丰富的乡村实施整体开发，投资建设民宿客栈、乡村酒店、休闲农庄、田园综合体等项目，开发乡村旅游产品。</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第三十一条  乡村旅游开发应当征求当地居民意见，尊重当地居民的风俗习惯，保护生态环境、自然风貌、古民居建筑和历史文化遗迹。</w:t>
      </w: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宋体" w:hAnsi="Calibri" w:cs="宋体"/>
          <w:b/>
          <w:bCs/>
          <w:color w:val="000000"/>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Calibri" w:hAnsi="Calibri" w:cs="Calibri"/>
          <w:b/>
          <w:bCs/>
          <w:color w:val="000000"/>
          <w:kern w:val="0"/>
          <w:sz w:val="32"/>
          <w:szCs w:val="32"/>
          <w:lang w:val="zh-CN"/>
        </w:rPr>
      </w:pPr>
      <w:r>
        <w:rPr>
          <w:rFonts w:hint="eastAsia" w:ascii="宋体" w:hAnsi="Calibri" w:cs="宋体"/>
          <w:b/>
          <w:bCs/>
          <w:color w:val="000000"/>
          <w:kern w:val="0"/>
          <w:sz w:val="32"/>
          <w:szCs w:val="32"/>
          <w:lang w:val="zh-CN"/>
        </w:rPr>
        <w:t>第五章</w:t>
      </w:r>
      <w:r>
        <w:rPr>
          <w:rFonts w:ascii="Calibri" w:hAnsi="Calibri" w:cs="Calibri"/>
          <w:b/>
          <w:bCs/>
          <w:color w:val="000000"/>
          <w:kern w:val="0"/>
          <w:sz w:val="32"/>
          <w:szCs w:val="32"/>
          <w:lang w:val="zh-CN"/>
        </w:rPr>
        <w:t xml:space="preserve"> 基础设施与</w:t>
      </w:r>
      <w:r>
        <w:rPr>
          <w:rFonts w:hint="eastAsia" w:ascii="Calibri" w:hAnsi="Calibri" w:cs="Calibri"/>
          <w:b/>
          <w:bCs/>
          <w:color w:val="000000"/>
          <w:kern w:val="0"/>
          <w:sz w:val="32"/>
          <w:szCs w:val="32"/>
          <w:lang w:val="zh-CN"/>
        </w:rPr>
        <w:t>服务保障</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第三十二条  市、区县人民政府应当在财政预算中安排全域旅游发展专项资金，用于促进全域旅游发展的基础设施建设和旅游公共服务、旅游形象推广等。</w:t>
      </w:r>
    </w:p>
    <w:p>
      <w:pPr>
        <w:keepNext w:val="0"/>
        <w:keepLines w:val="0"/>
        <w:pageBreakBefore w:val="0"/>
        <w:widowControl w:val="0"/>
        <w:kinsoku/>
        <w:wordWrap/>
        <w:overflowPunct/>
        <w:topLinePunct w:val="0"/>
        <w:autoSpaceDE w:val="0"/>
        <w:autoSpaceDN w:val="0"/>
        <w:bidi w:val="0"/>
        <w:adjustRightInd w:val="0"/>
        <w:spacing w:line="580" w:lineRule="exact"/>
        <w:ind w:firstLine="640" w:firstLineChars="200"/>
        <w:textAlignment w:val="auto"/>
        <w:outlineLvl w:val="9"/>
        <w:rPr>
          <w:rFonts w:hint="eastAsia" w:ascii="仿宋" w:hAnsi="Calibri" w:eastAsia="仿宋" w:cs="仿宋"/>
          <w:color w:val="000000"/>
          <w:spacing w:val="-9"/>
          <w:kern w:val="0"/>
          <w:sz w:val="32"/>
          <w:szCs w:val="32"/>
          <w:lang w:val="zh-CN"/>
        </w:rPr>
      </w:pPr>
      <w:r>
        <w:rPr>
          <w:rFonts w:hint="eastAsia" w:ascii="仿宋" w:hAnsi="Calibri" w:eastAsia="仿宋" w:cs="仿宋"/>
          <w:color w:val="000000"/>
          <w:kern w:val="0"/>
          <w:sz w:val="32"/>
          <w:szCs w:val="32"/>
          <w:lang w:val="zh-CN"/>
        </w:rPr>
        <w:t>发改、住建、交通运输、农业、林业、文化、体育等主管部门安</w:t>
      </w:r>
      <w:r>
        <w:rPr>
          <w:rFonts w:hint="eastAsia" w:ascii="仿宋" w:hAnsi="Calibri" w:eastAsia="仿宋" w:cs="仿宋"/>
          <w:color w:val="000000"/>
          <w:spacing w:val="-9"/>
          <w:kern w:val="0"/>
          <w:sz w:val="32"/>
          <w:szCs w:val="32"/>
          <w:lang w:val="zh-CN"/>
        </w:rPr>
        <w:t>排专项资金时，应当对与全域旅游相关联的项目依法予以支持。</w:t>
      </w:r>
    </w:p>
    <w:p>
      <w:pPr>
        <w:keepNext w:val="0"/>
        <w:keepLines w:val="0"/>
        <w:pageBreakBefore w:val="0"/>
        <w:widowControl w:val="0"/>
        <w:kinsoku/>
        <w:wordWrap/>
        <w:overflowPunct/>
        <w:topLinePunct w:val="0"/>
        <w:autoSpaceDE w:val="0"/>
        <w:autoSpaceDN w:val="0"/>
        <w:bidi w:val="0"/>
        <w:adjustRightInd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市、区县人民政府应当加强投融资机制和渠道建设，引导金融机构开发适应全域旅游发展的信贷产品，加大信贷扶持力度。</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第三十三条  市、区县人民政府</w:t>
      </w:r>
      <w:r>
        <w:rPr>
          <w:rFonts w:hint="eastAsia" w:ascii="仿宋" w:hAnsi="仿宋" w:eastAsia="仿宋"/>
          <w:color w:val="000000"/>
          <w:sz w:val="32"/>
          <w:szCs w:val="32"/>
        </w:rPr>
        <w:t>应当</w:t>
      </w:r>
      <w:r>
        <w:rPr>
          <w:rFonts w:hint="eastAsia" w:ascii="仿宋" w:hAnsi="仿宋" w:eastAsia="仿宋"/>
          <w:color w:val="000000"/>
          <w:sz w:val="32"/>
          <w:szCs w:val="32"/>
          <w:shd w:val="clear" w:color="auto" w:fill="FFFFFF"/>
        </w:rPr>
        <w:t>将重大旅游项目用地纳入土地利用总体规划和年度</w:t>
      </w:r>
      <w:r>
        <w:rPr>
          <w:rFonts w:hint="eastAsia" w:ascii="仿宋" w:hAnsi="仿宋" w:eastAsia="仿宋"/>
          <w:color w:val="000000"/>
          <w:sz w:val="32"/>
          <w:szCs w:val="32"/>
        </w:rPr>
        <w:t>计划，鼓励和支持合理利用荒山、荒坡、荒滩、废弃厂矿等土地资源开发旅游项目。</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鼓励单位和个人依法利用土地资源、房产等以入股、合作、租赁等方式开发旅游项目。</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公共资源交易机构应当依法支持利用集体资源开发建设的旅游项目进入交易平台，并无偿发布相关项目信息。</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Calibri" w:eastAsia="仿宋" w:cs="仿宋"/>
          <w:color w:val="000000"/>
          <w:kern w:val="0"/>
          <w:sz w:val="32"/>
          <w:szCs w:val="32"/>
        </w:rPr>
      </w:pPr>
      <w:r>
        <w:rPr>
          <w:rFonts w:hint="eastAsia" w:ascii="仿宋" w:hAnsi="Calibri" w:eastAsia="仿宋" w:cs="仿宋"/>
          <w:color w:val="000000"/>
          <w:kern w:val="0"/>
          <w:sz w:val="32"/>
          <w:szCs w:val="32"/>
          <w:lang w:val="zh-CN"/>
        </w:rPr>
        <w:t>第三十四条  市、区县人民政府应当鼓励旅游经营者开发自驾游产品，</w:t>
      </w:r>
      <w:r>
        <w:rPr>
          <w:rFonts w:ascii="仿宋" w:hAnsi="仿宋" w:eastAsia="仿宋"/>
          <w:color w:val="000000"/>
          <w:sz w:val="32"/>
          <w:szCs w:val="32"/>
        </w:rPr>
        <w:t>建设房车营地、自驾游基地等，完善自驾旅游服务保障体系，为自驾旅游者提供食品供应、水电保障、道路指引、医疗救助、安全救援等方面的服务。</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ascii="仿宋" w:hAnsi="仿宋" w:eastAsia="仿宋"/>
          <w:color w:val="000000"/>
          <w:sz w:val="32"/>
          <w:szCs w:val="32"/>
        </w:rPr>
      </w:pPr>
      <w:r>
        <w:rPr>
          <w:rFonts w:hint="eastAsia" w:ascii="仿宋" w:hAnsi="Calibri" w:eastAsia="仿宋" w:cs="仿宋"/>
          <w:color w:val="000000"/>
          <w:kern w:val="0"/>
          <w:sz w:val="32"/>
          <w:szCs w:val="32"/>
          <w:lang w:val="zh-CN"/>
        </w:rPr>
        <w:t>第三十五条  市、区县人民政府应当将连接</w:t>
      </w:r>
      <w:r>
        <w:rPr>
          <w:rFonts w:ascii="仿宋" w:hAnsi="仿宋" w:eastAsia="仿宋"/>
          <w:color w:val="000000"/>
          <w:sz w:val="32"/>
          <w:szCs w:val="32"/>
        </w:rPr>
        <w:t>各景区、景点、乡村旅游服务基地的道路以及配套的停车场、服务站等纳入城乡交通线网统一建设，</w:t>
      </w:r>
      <w:r>
        <w:rPr>
          <w:rFonts w:hint="eastAsia" w:ascii="仿宋" w:hAnsi="Calibri" w:eastAsia="仿宋" w:cs="仿宋"/>
          <w:color w:val="000000"/>
          <w:kern w:val="0"/>
          <w:sz w:val="32"/>
          <w:szCs w:val="32"/>
          <w:lang w:val="zh-CN"/>
        </w:rPr>
        <w:t>设立旅游客运专线或者游客集散与换乘中心。</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olor w:val="000000"/>
          <w:sz w:val="32"/>
          <w:szCs w:val="32"/>
        </w:rPr>
      </w:pPr>
      <w:r>
        <w:rPr>
          <w:rFonts w:ascii="仿宋" w:hAnsi="仿宋" w:eastAsia="仿宋"/>
          <w:color w:val="000000"/>
          <w:sz w:val="32"/>
          <w:szCs w:val="32"/>
        </w:rPr>
        <w:t>交通运输主管部门应当会同旅游主管部门加强车站、码头、机场等旅游者集中的场所与主要旅游景区之间的公共交通旅游专线建设，完善旅游公共交通线路。</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仿宋" w:eastAsia="仿宋"/>
          <w:color w:val="000000"/>
          <w:sz w:val="32"/>
          <w:szCs w:val="32"/>
        </w:rPr>
        <w:t>城市公共客运、道路客运线路和站点的设置，以及公共自行车等其他公共交通网点布局应当满足沿线旅游景区、景点的交通需求。</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pacing w:val="-6"/>
          <w:sz w:val="32"/>
          <w:szCs w:val="32"/>
        </w:rPr>
      </w:pPr>
      <w:r>
        <w:rPr>
          <w:rFonts w:hint="eastAsia" w:ascii="仿宋" w:hAnsi="Calibri" w:eastAsia="仿宋" w:cs="仿宋"/>
          <w:color w:val="000000"/>
          <w:kern w:val="0"/>
          <w:sz w:val="32"/>
          <w:szCs w:val="32"/>
          <w:lang w:val="zh-CN"/>
        </w:rPr>
        <w:t xml:space="preserve">第三十六条  </w:t>
      </w:r>
      <w:r>
        <w:rPr>
          <w:rFonts w:hint="eastAsia" w:ascii="仿宋" w:hAnsi="仿宋" w:eastAsia="仿宋"/>
          <w:color w:val="000000"/>
          <w:sz w:val="32"/>
          <w:szCs w:val="32"/>
        </w:rPr>
        <w:t>市、区县人民政府应当统筹休闲度假需求，增加城镇绿地、公园、休闲广场等公共空间供</w:t>
      </w:r>
      <w:r>
        <w:rPr>
          <w:rFonts w:hint="eastAsia" w:ascii="仿宋" w:hAnsi="仿宋" w:eastAsia="仿宋"/>
          <w:color w:val="000000"/>
          <w:spacing w:val="-6"/>
          <w:sz w:val="32"/>
          <w:szCs w:val="32"/>
        </w:rPr>
        <w:t>给，建设生态绿道和主题公园，拓展城镇休闲旅游空间。</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第三十七条</w:t>
      </w:r>
      <w:r>
        <w:rPr>
          <w:rFonts w:hint="eastAsia" w:ascii="仿宋" w:hAnsi="Calibri" w:eastAsia="仿宋" w:cs="仿宋"/>
          <w:color w:val="000000"/>
          <w:kern w:val="0"/>
          <w:sz w:val="32"/>
          <w:szCs w:val="32"/>
          <w:lang w:val="zh-CN"/>
        </w:rPr>
        <w:t xml:space="preserve">  道路、</w:t>
      </w:r>
      <w:r>
        <w:rPr>
          <w:rFonts w:hint="eastAsia" w:ascii="仿宋" w:hAnsi="仿宋" w:eastAsia="仿宋"/>
          <w:color w:val="000000"/>
          <w:sz w:val="32"/>
          <w:szCs w:val="32"/>
        </w:rPr>
        <w:t>车站、机场、景区、景点及其他城市设施，应当设置多国语言的通用标识、标牌，其内容应当符合相关法律、法规。</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车站、机场、宾馆酒店、景区、景点等应当根据有关规定建设无障碍设施，逐步推进无线局域网络覆盖。</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第三十八条  鼓励、支持旅游经营者建设和推广旅游电子商务平台，开发、使用网络信息查询、预订、支付、评价等功能，提升旅游服务的信息化水平。</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Calibri" w:hAnsi="Calibri" w:cs="Calibri"/>
          <w:b/>
          <w:bCs/>
          <w:color w:val="000000"/>
          <w:kern w:val="0"/>
          <w:sz w:val="32"/>
          <w:szCs w:val="32"/>
        </w:rPr>
      </w:pPr>
      <w:r>
        <w:rPr>
          <w:rFonts w:hint="eastAsia" w:ascii="仿宋" w:hAnsi="仿宋" w:eastAsia="仿宋"/>
          <w:color w:val="000000"/>
          <w:sz w:val="32"/>
          <w:szCs w:val="32"/>
        </w:rPr>
        <w:t>旅游经营者通过网络为旅游者提供交通、住宿、游览、餐饮、购物等旅游信息服务和代理服务，应当在其网站主页显著位置加贴营业执照的电子链接标识，标明其业务许可证信息，提供、发布的信息应当真实、准确。</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第三十九条  市、区县人民政府应当推进旅游信息化建设，组织有关部门建设具有旅游宣传促销、咨询、投诉、安全、监督管理、信息资源交换与共享等功能的综合性平台，综合开展监督管理和服务。</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ascii="仿宋" w:hAnsi="仿宋" w:eastAsia="仿宋" w:cs="仿宋"/>
          <w:color w:val="000000"/>
          <w:kern w:val="0"/>
          <w:sz w:val="32"/>
          <w:szCs w:val="32"/>
          <w:lang w:val="zh-CN"/>
        </w:rPr>
      </w:pPr>
      <w:r>
        <w:rPr>
          <w:rFonts w:hint="eastAsia" w:ascii="仿宋" w:hAnsi="仿宋" w:eastAsia="仿宋" w:cs="仿宋"/>
          <w:color w:val="000000"/>
          <w:kern w:val="0"/>
          <w:sz w:val="32"/>
          <w:szCs w:val="32"/>
          <w:lang w:val="zh-CN"/>
        </w:rPr>
        <w:t>第四十条  市、区县人民政府应当建立</w:t>
      </w:r>
      <w:r>
        <w:rPr>
          <w:rFonts w:hint="eastAsia" w:ascii="仿宋" w:hAnsi="仿宋" w:eastAsia="仿宋"/>
          <w:color w:val="000000"/>
          <w:sz w:val="32"/>
          <w:szCs w:val="32"/>
        </w:rPr>
        <w:t>统一的旅游市场监管联动机制和信息反馈机制，建立</w:t>
      </w:r>
      <w:r>
        <w:rPr>
          <w:rFonts w:hint="eastAsia" w:ascii="仿宋" w:hAnsi="仿宋" w:eastAsia="仿宋" w:cs="仿宋"/>
          <w:color w:val="000000"/>
          <w:kern w:val="0"/>
          <w:sz w:val="32"/>
          <w:szCs w:val="32"/>
          <w:lang w:val="zh-CN"/>
        </w:rPr>
        <w:t>由旅游主管部门牵头，公安、价格、卫生、交通运输、工商、食品药品监督管理、质量技术监督管理等部门参与的全域旅游综合服务和监管体系，制定旅游综合监管责任清单，公布执法权限，依法查处违法行为。</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s="仿宋"/>
          <w:color w:val="000000"/>
          <w:spacing w:val="-6"/>
          <w:kern w:val="0"/>
          <w:sz w:val="32"/>
          <w:szCs w:val="32"/>
          <w:lang w:val="zh-CN"/>
        </w:rPr>
      </w:pPr>
      <w:r>
        <w:rPr>
          <w:rFonts w:hint="eastAsia" w:ascii="仿宋" w:hAnsi="仿宋" w:eastAsia="仿宋" w:cs="仿宋"/>
          <w:color w:val="000000"/>
          <w:kern w:val="0"/>
          <w:sz w:val="32"/>
          <w:szCs w:val="32"/>
          <w:lang w:val="zh-CN"/>
        </w:rPr>
        <w:t>旅游、税务、价格等主管部门应当依法加强对旅游佣金</w:t>
      </w:r>
      <w:r>
        <w:rPr>
          <w:rFonts w:hint="eastAsia" w:ascii="仿宋" w:hAnsi="仿宋" w:eastAsia="仿宋" w:cs="仿宋"/>
          <w:color w:val="000000"/>
          <w:spacing w:val="-6"/>
          <w:kern w:val="0"/>
          <w:sz w:val="32"/>
          <w:szCs w:val="32"/>
          <w:lang w:val="zh-CN"/>
        </w:rPr>
        <w:t>的监督管理，规范旅游佣金收支行为。</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s="仿宋"/>
          <w:color w:val="000000"/>
          <w:kern w:val="0"/>
          <w:sz w:val="32"/>
          <w:szCs w:val="32"/>
          <w:lang w:val="zh-CN"/>
        </w:rPr>
      </w:pPr>
      <w:r>
        <w:rPr>
          <w:rFonts w:hint="eastAsia" w:ascii="仿宋" w:hAnsi="仿宋" w:eastAsia="仿宋" w:cs="仿宋"/>
          <w:color w:val="000000"/>
          <w:kern w:val="0"/>
          <w:sz w:val="32"/>
          <w:szCs w:val="32"/>
          <w:lang w:val="zh-CN"/>
        </w:rPr>
        <w:t>本市推行</w:t>
      </w:r>
      <w:r>
        <w:rPr>
          <w:rFonts w:hint="eastAsia" w:ascii="仿宋" w:hAnsi="仿宋" w:eastAsia="仿宋"/>
          <w:color w:val="000000"/>
          <w:sz w:val="32"/>
          <w:szCs w:val="32"/>
          <w:shd w:val="clear" w:color="auto" w:fill="FFFFFF"/>
        </w:rPr>
        <w:t>旅游企业发票门票一票制</w:t>
      </w:r>
      <w:r>
        <w:rPr>
          <w:rFonts w:hint="eastAsia" w:ascii="仿宋" w:hAnsi="仿宋" w:eastAsia="仿宋" w:cs="仿宋"/>
          <w:color w:val="000000"/>
          <w:kern w:val="0"/>
          <w:sz w:val="32"/>
          <w:szCs w:val="32"/>
          <w:lang w:val="zh-CN"/>
        </w:rPr>
        <w:t>，具体办法由市人民政府制定。</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s="仿宋"/>
          <w:color w:val="000000"/>
          <w:kern w:val="0"/>
          <w:sz w:val="32"/>
          <w:szCs w:val="32"/>
          <w:lang w:val="zh-CN"/>
        </w:rPr>
      </w:pPr>
      <w:r>
        <w:rPr>
          <w:rFonts w:hint="eastAsia" w:ascii="仿宋" w:hAnsi="Calibri" w:eastAsia="仿宋" w:cs="仿宋"/>
          <w:color w:val="000000"/>
          <w:kern w:val="0"/>
          <w:sz w:val="32"/>
          <w:szCs w:val="32"/>
          <w:lang w:val="zh-CN"/>
        </w:rPr>
        <w:t xml:space="preserve">第四十一条  </w:t>
      </w:r>
      <w:r>
        <w:rPr>
          <w:rFonts w:hint="eastAsia" w:ascii="仿宋" w:hAnsi="仿宋" w:eastAsia="仿宋"/>
          <w:color w:val="000000"/>
          <w:sz w:val="32"/>
          <w:szCs w:val="32"/>
        </w:rPr>
        <w:t>市、区县人民政府应当建立旅游统计、旅游信息收集和发布体系，及时、准确提供旅游信息服务，并</w:t>
      </w:r>
      <w:r>
        <w:rPr>
          <w:rFonts w:hint="eastAsia" w:ascii="仿宋" w:hAnsi="仿宋" w:eastAsia="仿宋" w:cs="仿宋"/>
          <w:color w:val="000000"/>
          <w:kern w:val="0"/>
          <w:sz w:val="32"/>
          <w:szCs w:val="32"/>
          <w:lang w:val="zh-CN"/>
        </w:rPr>
        <w:t>统一发布下列信息：</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（一）景区、景点的情况；</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（二）住宿、交通等旅游设施接待状况；</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（三）旅游气象；</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（四）旅游新产品；</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（五）旅游市场监管；</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（六）其他旅游资讯。</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市、区县人民政府应当在公共交通枢纽以及旅游者集中场所设立游客服务中心，为旅游者提供服务。</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旅游主管部门应当充分运用现代网络信息平台开展旅游促销，宣传、推介本市旅游产品。</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第四十二条  公安交通管理、交通运输等主管部门应当对交通流进行合理组织和科学调度，对旅游高峰期间通往城区和主要旅游景区、景点车辆进行疏导，维护交通秩序。</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spacing w:val="-9"/>
          <w:kern w:val="0"/>
          <w:sz w:val="32"/>
          <w:szCs w:val="32"/>
          <w:lang w:val="zh-CN"/>
        </w:rPr>
      </w:pPr>
      <w:r>
        <w:rPr>
          <w:rFonts w:hint="eastAsia" w:ascii="仿宋" w:hAnsi="Calibri" w:eastAsia="仿宋" w:cs="仿宋"/>
          <w:color w:val="000000"/>
          <w:spacing w:val="-9"/>
          <w:kern w:val="0"/>
          <w:sz w:val="32"/>
          <w:szCs w:val="32"/>
          <w:lang w:val="zh-CN"/>
        </w:rPr>
        <w:t>非法定事由，不得擅自在旅游交通线路设点检查过往车辆。</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旅游交通事故应当依法快速处置、快速调解。</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仿宋" w:eastAsia="仿宋"/>
          <w:color w:val="000000"/>
          <w:sz w:val="32"/>
          <w:szCs w:val="32"/>
        </w:rPr>
      </w:pPr>
      <w:r>
        <w:rPr>
          <w:rFonts w:hint="eastAsia" w:ascii="仿宋" w:hAnsi="Calibri" w:eastAsia="仿宋" w:cs="仿宋"/>
          <w:color w:val="000000"/>
          <w:kern w:val="0"/>
          <w:sz w:val="32"/>
          <w:szCs w:val="32"/>
          <w:lang w:val="zh-CN"/>
        </w:rPr>
        <w:t>第四十三条  旅游、质量技术监督管理等主管部门应当</w:t>
      </w:r>
      <w:r>
        <w:rPr>
          <w:rFonts w:ascii="仿宋" w:hAnsi="仿宋" w:eastAsia="仿宋"/>
          <w:color w:val="000000"/>
          <w:sz w:val="32"/>
          <w:szCs w:val="32"/>
        </w:rPr>
        <w:t>组织实施旅游及相关行业的国家标准、行业标准，研究制定体现张家界特色的地方标准，形成完备的旅游标准体系。</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ascii="仿宋" w:hAnsi="仿宋" w:eastAsia="仿宋"/>
          <w:color w:val="000000"/>
          <w:sz w:val="32"/>
          <w:szCs w:val="32"/>
        </w:rPr>
        <w:t>鼓励、支持旅游经营者引进并使用国际标准</w:t>
      </w:r>
      <w:r>
        <w:rPr>
          <w:rFonts w:hint="eastAsia" w:ascii="仿宋" w:hAnsi="Calibri" w:eastAsia="仿宋" w:cs="仿宋"/>
          <w:color w:val="000000"/>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旅游主管部门应当制定、推广旅游讲解服务规范，指导景区经营者加强对讲解员的教育培训和规范管理。</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第四十四条  旅游主管部门应当建立旅游经营者、从业者的信用评价制度，完善旅游经营者、从业者诚信记录，</w:t>
      </w:r>
      <w:r>
        <w:rPr>
          <w:rFonts w:hint="eastAsia" w:ascii="仿宋" w:hAnsi="仿宋" w:eastAsia="仿宋"/>
          <w:color w:val="000000"/>
          <w:kern w:val="0"/>
          <w:sz w:val="32"/>
          <w:szCs w:val="32"/>
        </w:rPr>
        <w:t>建立失信者惩戒机制，</w:t>
      </w:r>
      <w:r>
        <w:rPr>
          <w:rFonts w:hint="eastAsia" w:ascii="仿宋" w:hAnsi="Calibri" w:eastAsia="仿宋" w:cs="仿宋"/>
          <w:color w:val="000000"/>
          <w:kern w:val="0"/>
          <w:sz w:val="32"/>
          <w:szCs w:val="32"/>
          <w:lang w:val="zh-CN"/>
        </w:rPr>
        <w:t>依法公开监督管理情况。</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第四十五条</w:t>
      </w:r>
      <w:r>
        <w:rPr>
          <w:rFonts w:hint="eastAsia" w:ascii="仿宋" w:hAnsi="Calibri" w:eastAsia="仿宋" w:cs="仿宋"/>
          <w:color w:val="000000"/>
          <w:kern w:val="0"/>
          <w:sz w:val="32"/>
          <w:szCs w:val="32"/>
          <w:lang w:val="zh-CN"/>
        </w:rPr>
        <w:t xml:space="preserve">  </w:t>
      </w:r>
      <w:r>
        <w:rPr>
          <w:rFonts w:hint="eastAsia" w:ascii="仿宋" w:hAnsi="仿宋" w:eastAsia="仿宋"/>
          <w:color w:val="000000"/>
          <w:sz w:val="32"/>
          <w:szCs w:val="32"/>
        </w:rPr>
        <w:t>各级人民政府负责本行政区域内旅游安全工作，旅游、公安、消防、卫生、工商、质量技术监督管理、食品药品监督管理、交通运输、体育、安全生产监督管理等主管部门应当依法履行旅游安全监督管理职责，组织编制和实施旅游突发事件应急预案，开展应急演练，加强安全检查和安全保障。</w:t>
      </w:r>
    </w:p>
    <w:p>
      <w:pPr>
        <w:keepNext w:val="0"/>
        <w:keepLines w:val="0"/>
        <w:pageBreakBefore w:val="0"/>
        <w:widowControl w:val="0"/>
        <w:kinsoku/>
        <w:wordWrap/>
        <w:overflowPunct/>
        <w:topLinePunct w:val="0"/>
        <w:bidi w:val="0"/>
        <w:spacing w:line="580" w:lineRule="exact"/>
        <w:ind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市、区县人民政府应当加强对各类旅游新业态的引导，明确主管部门进行指导和监督管理，保障旅游安全。</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第四十六条  不得擅自占用机场、车站、广场、道路、码头、停车场等公共区域向旅游者提供信息咨询、介绍旅游服务项目和推销商品等。</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禁止以拦截车辆和纠缠、围堵、追逐等方式要求向旅游者提供信息咨询、介绍旅游服务项目，推销商品等行为。</w:t>
      </w:r>
    </w:p>
    <w:p>
      <w:pPr>
        <w:keepNext w:val="0"/>
        <w:keepLines w:val="0"/>
        <w:pageBreakBefore w:val="0"/>
        <w:widowControl w:val="0"/>
        <w:kinsoku/>
        <w:wordWrap/>
        <w:overflowPunct/>
        <w:topLinePunct w:val="0"/>
        <w:bidi w:val="0"/>
        <w:spacing w:line="580" w:lineRule="exact"/>
        <w:ind w:firstLine="616" w:firstLineChars="200"/>
        <w:textAlignment w:val="auto"/>
        <w:outlineLvl w:val="9"/>
        <w:rPr>
          <w:rFonts w:hint="eastAsia" w:ascii="仿宋" w:hAnsi="Calibri" w:eastAsia="仿宋" w:cs="仿宋"/>
          <w:color w:val="000000"/>
          <w:spacing w:val="-6"/>
          <w:kern w:val="0"/>
          <w:sz w:val="32"/>
          <w:szCs w:val="32"/>
          <w:lang w:val="zh-CN"/>
        </w:rPr>
      </w:pPr>
      <w:r>
        <w:rPr>
          <w:rFonts w:hint="eastAsia" w:ascii="仿宋" w:hAnsi="仿宋" w:eastAsia="仿宋"/>
          <w:color w:val="000000"/>
          <w:spacing w:val="-6"/>
          <w:sz w:val="32"/>
          <w:szCs w:val="32"/>
        </w:rPr>
        <w:t>旅游经营者不得参与前款行为或者为前款行为提供支持</w:t>
      </w:r>
      <w:r>
        <w:rPr>
          <w:rFonts w:hint="eastAsia" w:ascii="仿宋" w:hAnsi="Calibri" w:eastAsia="仿宋" w:cs="仿宋"/>
          <w:color w:val="000000"/>
          <w:spacing w:val="-6"/>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第四十七条  市、区县人民政府应当建立健全旅游投诉统一受理机制、法律援助机制和快速处理机制，公布旅游投诉电话、网站等。</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旅游投诉受理机构接到投诉后，应当即时审查，符合受理条件的，即时受理；不符合受理条件的，应当即时告知投诉者并说明理由。</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旅游投诉一般应当在受理投诉后一日内处理完毕；重大、复杂的旅游投诉，应当从受理之日起二十日内处理完毕。</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旅游者可以委托旅游投诉法律援助机构处理在本市范围内旅游投诉的调处事宜。</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Calibri" w:hAnsi="Calibri" w:cs="Calibri"/>
          <w:b/>
          <w:bCs/>
          <w:color w:val="000000"/>
          <w:kern w:val="0"/>
          <w:sz w:val="32"/>
          <w:szCs w:val="32"/>
          <w:lang w:val="zh-CN"/>
        </w:rPr>
      </w:pPr>
      <w:r>
        <w:rPr>
          <w:rFonts w:hint="eastAsia" w:ascii="宋体" w:hAnsi="Calibri" w:cs="宋体"/>
          <w:b/>
          <w:bCs/>
          <w:color w:val="000000"/>
          <w:kern w:val="0"/>
          <w:sz w:val="32"/>
          <w:szCs w:val="32"/>
          <w:lang w:val="zh-CN"/>
        </w:rPr>
        <w:t>第六章</w:t>
      </w:r>
      <w:r>
        <w:rPr>
          <w:rFonts w:ascii="Calibri" w:hAnsi="Calibri" w:cs="Calibri"/>
          <w:b/>
          <w:bCs/>
          <w:color w:val="000000"/>
          <w:kern w:val="0"/>
          <w:sz w:val="32"/>
          <w:szCs w:val="32"/>
          <w:lang w:val="zh-CN"/>
        </w:rPr>
        <w:t xml:space="preserve">  </w:t>
      </w:r>
      <w:r>
        <w:rPr>
          <w:rFonts w:hint="eastAsia" w:ascii="宋体" w:hAnsi="Calibri" w:cs="宋体"/>
          <w:b/>
          <w:bCs/>
          <w:color w:val="000000"/>
          <w:kern w:val="0"/>
          <w:sz w:val="32"/>
          <w:szCs w:val="32"/>
          <w:lang w:val="zh-CN"/>
        </w:rPr>
        <w:t>法律责任</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ascii="仿宋" w:hAnsi="Calibri" w:eastAsia="仿宋" w:cs="仿宋"/>
          <w:color w:val="000000"/>
          <w:kern w:val="0"/>
          <w:sz w:val="32"/>
          <w:szCs w:val="32"/>
          <w:lang w:val="zh-CN"/>
        </w:rPr>
      </w:pPr>
      <w:r>
        <w:rPr>
          <w:rFonts w:hint="eastAsia" w:ascii="仿宋" w:hAnsi="仿宋" w:eastAsia="仿宋"/>
          <w:color w:val="000000"/>
          <w:sz w:val="32"/>
          <w:szCs w:val="32"/>
        </w:rPr>
        <w:t>第四十八条</w:t>
      </w:r>
      <w:r>
        <w:rPr>
          <w:rFonts w:hint="eastAsia" w:ascii="仿宋" w:hAnsi="Calibri" w:eastAsia="仿宋" w:cs="仿宋"/>
          <w:color w:val="000000"/>
          <w:kern w:val="0"/>
          <w:sz w:val="32"/>
          <w:szCs w:val="32"/>
          <w:lang w:val="zh-CN"/>
        </w:rPr>
        <w:t xml:space="preserve">  </w:t>
      </w:r>
      <w:r>
        <w:rPr>
          <w:rFonts w:hint="eastAsia" w:ascii="仿宋" w:hAnsi="仿宋" w:eastAsia="仿宋"/>
          <w:color w:val="000000"/>
          <w:sz w:val="32"/>
          <w:szCs w:val="32"/>
        </w:rPr>
        <w:t>违反本条例第三十八条第二款的规定，旅游经营者提供虚假旅游信息，误导旅游者的，由旅游主管部门责令改正，并处五千元以上五万元以下的罚款。</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第四十九条  违反本条例第四十六条第二款规定的，由公安部门责令改正，可以并处两百元以上五百元以下罚款。</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仿宋" w:eastAsia="仿宋"/>
          <w:color w:val="000000"/>
          <w:sz w:val="32"/>
          <w:szCs w:val="32"/>
        </w:rPr>
        <w:t>旅游经营者违反第四十六条第三款规定的，</w:t>
      </w:r>
      <w:r>
        <w:rPr>
          <w:rFonts w:hint="eastAsia" w:ascii="仿宋" w:hAnsi="Calibri" w:eastAsia="仿宋" w:cs="仿宋"/>
          <w:color w:val="000000"/>
          <w:kern w:val="0"/>
          <w:sz w:val="32"/>
          <w:szCs w:val="32"/>
          <w:lang w:val="zh-CN"/>
        </w:rPr>
        <w:t>由公安部门责令改正，并处一千元以上五千元以下罚款。</w:t>
      </w:r>
    </w:p>
    <w:p>
      <w:pPr>
        <w:keepNext w:val="0"/>
        <w:keepLines w:val="0"/>
        <w:pageBreakBefore w:val="0"/>
        <w:widowControl w:val="0"/>
        <w:kinsoku/>
        <w:wordWrap/>
        <w:overflowPunct/>
        <w:topLinePunct w:val="0"/>
        <w:autoSpaceDE w:val="0"/>
        <w:autoSpaceDN w:val="0"/>
        <w:bidi w:val="0"/>
        <w:adjustRightInd w:val="0"/>
        <w:spacing w:line="580" w:lineRule="exact"/>
        <w:ind w:firstLine="641"/>
        <w:textAlignment w:val="auto"/>
        <w:outlineLvl w:val="9"/>
        <w:rPr>
          <w:rFonts w:hint="eastAsia" w:ascii="仿宋" w:hAnsi="仿宋" w:eastAsia="仿宋"/>
          <w:color w:val="000000"/>
          <w:sz w:val="32"/>
          <w:szCs w:val="32"/>
        </w:rPr>
      </w:pPr>
      <w:r>
        <w:rPr>
          <w:rFonts w:hint="eastAsia" w:ascii="仿宋" w:hAnsi="Calibri" w:eastAsia="仿宋" w:cs="仿宋"/>
          <w:color w:val="000000"/>
          <w:kern w:val="0"/>
          <w:sz w:val="32"/>
          <w:szCs w:val="32"/>
          <w:lang w:val="zh-CN"/>
        </w:rPr>
        <w:t xml:space="preserve">第五十条  </w:t>
      </w:r>
      <w:r>
        <w:rPr>
          <w:rFonts w:hint="eastAsia" w:ascii="仿宋" w:hAnsi="仿宋" w:eastAsia="仿宋"/>
          <w:color w:val="000000"/>
          <w:sz w:val="32"/>
          <w:szCs w:val="32"/>
        </w:rPr>
        <w:t>违反本条例第五章规定，不按规划进行景区建设，或者造成景区生态环境、旅游资源破坏的，由规划、旅游主管部门或者其他有关部门责令停止违法行为，依法予以处罚。</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r>
        <w:rPr>
          <w:rFonts w:hint="eastAsia" w:ascii="仿宋" w:hAnsi="Calibri" w:eastAsia="仿宋" w:cs="仿宋"/>
          <w:color w:val="000000"/>
          <w:kern w:val="0"/>
          <w:sz w:val="32"/>
          <w:szCs w:val="32"/>
          <w:lang w:val="zh-CN"/>
        </w:rPr>
        <w:t>第五十一条  旅游和有关部门、景区管理机构及其工作人员滥用职权、玩忽职守、徇私舞弊的，依法给予处分；构成犯罪的，依法追究刑事责任。</w:t>
      </w:r>
    </w:p>
    <w:p>
      <w:pPr>
        <w:keepNext w:val="0"/>
        <w:keepLines w:val="0"/>
        <w:pageBreakBefore w:val="0"/>
        <w:widowControl w:val="0"/>
        <w:kinsoku/>
        <w:wordWrap/>
        <w:overflowPunct/>
        <w:topLinePunct w:val="0"/>
        <w:autoSpaceDE w:val="0"/>
        <w:autoSpaceDN w:val="0"/>
        <w:bidi w:val="0"/>
        <w:adjustRightInd w:val="0"/>
        <w:spacing w:line="580" w:lineRule="exact"/>
        <w:ind w:firstLine="640"/>
        <w:textAlignment w:val="auto"/>
        <w:outlineLvl w:val="9"/>
        <w:rPr>
          <w:rFonts w:hint="eastAsia" w:ascii="仿宋" w:hAnsi="Calibri" w:eastAsia="仿宋" w:cs="仿宋"/>
          <w:color w:val="000000"/>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jc w:val="center"/>
        <w:textAlignment w:val="auto"/>
        <w:outlineLvl w:val="9"/>
        <w:rPr>
          <w:rFonts w:hint="eastAsia" w:ascii="Calibri" w:hAnsi="Calibri" w:cs="Calibri"/>
          <w:b/>
          <w:bCs/>
          <w:color w:val="000000"/>
          <w:kern w:val="0"/>
          <w:sz w:val="32"/>
          <w:szCs w:val="32"/>
          <w:lang w:val="zh-CN"/>
        </w:rPr>
      </w:pPr>
      <w:r>
        <w:rPr>
          <w:rFonts w:hint="eastAsia" w:ascii="宋体" w:hAnsi="Calibri" w:cs="宋体"/>
          <w:b/>
          <w:bCs/>
          <w:color w:val="000000"/>
          <w:kern w:val="0"/>
          <w:sz w:val="32"/>
          <w:szCs w:val="32"/>
          <w:lang w:val="zh-CN"/>
        </w:rPr>
        <w:t>第七章</w:t>
      </w:r>
      <w:r>
        <w:rPr>
          <w:rFonts w:ascii="Calibri" w:hAnsi="Calibri" w:cs="Calibri"/>
          <w:b/>
          <w:bCs/>
          <w:color w:val="000000"/>
          <w:kern w:val="0"/>
          <w:sz w:val="32"/>
          <w:szCs w:val="32"/>
          <w:lang w:val="zh-CN"/>
        </w:rPr>
        <w:t xml:space="preserve"> </w:t>
      </w:r>
      <w:r>
        <w:rPr>
          <w:rFonts w:hint="eastAsia" w:ascii="宋体" w:hAnsi="Calibri" w:cs="宋体"/>
          <w:b/>
          <w:bCs/>
          <w:color w:val="000000"/>
          <w:kern w:val="0"/>
          <w:sz w:val="32"/>
          <w:szCs w:val="32"/>
          <w:lang w:val="zh-CN"/>
        </w:rPr>
        <w:t>附则</w:t>
      </w:r>
    </w:p>
    <w:p>
      <w:pPr>
        <w:keepNext w:val="0"/>
        <w:keepLines w:val="0"/>
        <w:pageBreakBefore w:val="0"/>
        <w:widowControl w:val="0"/>
        <w:shd w:val="clear" w:color="auto" w:fill="FFFFFF"/>
        <w:kinsoku/>
        <w:wordWrap/>
        <w:overflowPunct/>
        <w:topLinePunct w:val="0"/>
        <w:bidi w:val="0"/>
        <w:spacing w:line="580" w:lineRule="exact"/>
        <w:ind w:firstLine="800" w:firstLineChars="250"/>
        <w:textAlignment w:val="auto"/>
        <w:outlineLvl w:val="9"/>
        <w:rPr>
          <w:rFonts w:ascii="仿宋" w:hAnsi="仿宋" w:eastAsia="仿宋" w:cs="Arial"/>
          <w:color w:val="000000"/>
          <w:kern w:val="0"/>
          <w:sz w:val="32"/>
          <w:szCs w:val="32"/>
        </w:rPr>
      </w:pPr>
      <w:r>
        <w:rPr>
          <w:rFonts w:hint="eastAsia" w:ascii="仿宋" w:hAnsi="Calibri" w:eastAsia="仿宋" w:cs="仿宋"/>
          <w:color w:val="000000"/>
          <w:kern w:val="0"/>
          <w:sz w:val="32"/>
          <w:szCs w:val="32"/>
          <w:lang w:val="zh-CN"/>
        </w:rPr>
        <w:t xml:space="preserve">第五十二条  </w:t>
      </w:r>
      <w:r>
        <w:rPr>
          <w:rFonts w:hint="eastAsia" w:ascii="仿宋" w:hAnsi="仿宋" w:eastAsia="仿宋" w:cs="Arial"/>
          <w:color w:val="000000"/>
          <w:kern w:val="0"/>
          <w:sz w:val="32"/>
          <w:szCs w:val="32"/>
        </w:rPr>
        <w:t>本条例下列用语的含义：</w:t>
      </w:r>
    </w:p>
    <w:p>
      <w:pPr>
        <w:keepNext w:val="0"/>
        <w:keepLines w:val="0"/>
        <w:pageBreakBefore w:val="0"/>
        <w:widowControl w:val="0"/>
        <w:shd w:val="clear" w:color="auto" w:fill="FFFFFF"/>
        <w:kinsoku/>
        <w:wordWrap/>
        <w:overflowPunct/>
        <w:topLinePunct w:val="0"/>
        <w:bidi w:val="0"/>
        <w:spacing w:line="580" w:lineRule="exact"/>
        <w:ind w:firstLine="480" w:firstLineChars="150"/>
        <w:jc w:val="left"/>
        <w:textAlignment w:val="auto"/>
        <w:outlineLvl w:val="9"/>
        <w:rPr>
          <w:rFonts w:hint="eastAsia" w:ascii="仿宋" w:hAnsi="仿宋" w:eastAsia="仿宋" w:cs="Arial"/>
          <w:color w:val="000000"/>
          <w:kern w:val="0"/>
          <w:sz w:val="32"/>
          <w:szCs w:val="32"/>
        </w:rPr>
      </w:pPr>
      <w:r>
        <w:rPr>
          <w:rFonts w:hint="eastAsia" w:ascii="仿宋" w:hAnsi="仿宋" w:eastAsia="仿宋" w:cs="Arial"/>
          <w:color w:val="000000"/>
          <w:kern w:val="0"/>
          <w:sz w:val="32"/>
          <w:szCs w:val="32"/>
        </w:rPr>
        <w:t>（一）旅游经营者，是指旅行社、景区以及为旅游者提供游览、交通、住宿、餐饮、购物、娱乐等服务的经营者。</w:t>
      </w:r>
    </w:p>
    <w:p>
      <w:pPr>
        <w:keepNext w:val="0"/>
        <w:keepLines w:val="0"/>
        <w:pageBreakBefore w:val="0"/>
        <w:widowControl w:val="0"/>
        <w:kinsoku/>
        <w:wordWrap/>
        <w:overflowPunct/>
        <w:topLinePunct w:val="0"/>
        <w:autoSpaceDE w:val="0"/>
        <w:autoSpaceDN w:val="0"/>
        <w:bidi w:val="0"/>
        <w:adjustRightInd w:val="0"/>
        <w:spacing w:line="580" w:lineRule="exact"/>
        <w:ind w:firstLine="640" w:firstLineChars="200"/>
        <w:textAlignment w:val="auto"/>
        <w:outlineLvl w:val="9"/>
        <w:rPr>
          <w:rFonts w:hint="eastAsia" w:ascii="仿宋" w:hAnsi="Calibri" w:eastAsia="仿宋" w:cs="仿宋"/>
          <w:color w:val="000000"/>
          <w:kern w:val="0"/>
          <w:sz w:val="32"/>
          <w:szCs w:val="32"/>
          <w:lang w:val="zh-CN"/>
        </w:rPr>
      </w:pPr>
      <w:r>
        <w:rPr>
          <w:rFonts w:hint="eastAsia" w:ascii="仿宋" w:hAnsi="仿宋" w:eastAsia="仿宋" w:cs="Arial"/>
          <w:color w:val="000000"/>
          <w:kern w:val="0"/>
          <w:sz w:val="32"/>
          <w:szCs w:val="32"/>
        </w:rPr>
        <w:t>（二）景区，是指为旅游者提供游览服务、有明确的管理界限的场所或者区域。</w:t>
      </w:r>
    </w:p>
    <w:p>
      <w:pPr>
        <w:keepNext w:val="0"/>
        <w:keepLines w:val="0"/>
        <w:pageBreakBefore w:val="0"/>
        <w:widowControl w:val="0"/>
        <w:shd w:val="clear" w:color="auto" w:fill="FFFFFF"/>
        <w:kinsoku/>
        <w:wordWrap/>
        <w:overflowPunct/>
        <w:topLinePunct w:val="0"/>
        <w:bidi w:val="0"/>
        <w:spacing w:line="580" w:lineRule="exact"/>
        <w:ind w:firstLine="800" w:firstLineChars="250"/>
        <w:jc w:val="left"/>
        <w:textAlignment w:val="auto"/>
        <w:outlineLvl w:val="9"/>
        <w:rPr>
          <w:rFonts w:hint="eastAsia"/>
          <w:color w:val="000000"/>
        </w:rPr>
      </w:pPr>
      <w:r>
        <w:rPr>
          <w:rFonts w:hint="eastAsia" w:ascii="仿宋" w:hAnsi="Calibri" w:eastAsia="仿宋" w:cs="仿宋"/>
          <w:color w:val="000000"/>
          <w:kern w:val="0"/>
          <w:sz w:val="32"/>
          <w:szCs w:val="32"/>
          <w:lang w:val="zh-CN"/>
        </w:rPr>
        <w:t>第五十三条  本条例经湖南省人大常委会批准后，由张家界市人大常委会公布，自2018年5月1日起施行。</w:t>
      </w:r>
    </w:p>
    <w:p>
      <w:pPr>
        <w:keepNext w:val="0"/>
        <w:keepLines w:val="0"/>
        <w:pageBreakBefore w:val="0"/>
        <w:widowControl w:val="0"/>
        <w:kinsoku/>
        <w:wordWrap/>
        <w:overflowPunct/>
        <w:topLinePunct w:val="0"/>
        <w:bidi w:val="0"/>
        <w:spacing w:line="580" w:lineRule="exact"/>
        <w:textAlignment w:val="auto"/>
        <w:outlineLvl w:val="9"/>
        <w:rPr>
          <w:color w:val="000000"/>
        </w:rPr>
      </w:pPr>
    </w:p>
    <w:p>
      <w:pPr>
        <w:keepNext w:val="0"/>
        <w:keepLines w:val="0"/>
        <w:pageBreakBefore w:val="0"/>
        <w:widowControl w:val="0"/>
        <w:kinsoku/>
        <w:wordWrap/>
        <w:overflowPunct/>
        <w:topLinePunct w:val="0"/>
        <w:bidi w:val="0"/>
        <w:spacing w:line="580" w:lineRule="exact"/>
        <w:textAlignment w:val="auto"/>
        <w:outlineLvl w:val="9"/>
      </w:pPr>
    </w:p>
    <w:sectPr>
      <w:footerReference r:id="rId3" w:type="default"/>
      <w:pgSz w:w="11906" w:h="16838"/>
      <w:pgMar w:top="2154" w:right="1531" w:bottom="1814" w:left="1531" w:header="851" w:footer="1247" w:gutter="0"/>
      <w:paperSrc/>
      <w:pgNumType w:fmt="numberInDash"/>
      <w:cols w:space="72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楷体简体">
    <w:altName w:val="微软雅黑"/>
    <w:panose1 w:val="03000509000000000000"/>
    <w:charset w:val="86"/>
    <w:family w:val="auto"/>
    <w:pitch w:val="default"/>
    <w:sig w:usb0="00000000"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posOffset>5039360</wp:posOffset>
              </wp:positionH>
              <wp:positionV relativeFrom="paragraph">
                <wp:posOffset>-120015</wp:posOffset>
              </wp:positionV>
              <wp:extent cx="534035" cy="230505"/>
              <wp:effectExtent l="0" t="0" r="0" b="0"/>
              <wp:wrapNone/>
              <wp:docPr id="1" name="文本框 3"/>
              <wp:cNvGraphicFramePr/>
              <a:graphic xmlns:a="http://schemas.openxmlformats.org/drawingml/2006/main">
                <a:graphicData uri="http://schemas.microsoft.com/office/word/2010/wordprocessingShape">
                  <wps:wsp>
                    <wps:cNvSpPr txBox="1"/>
                    <wps:spPr>
                      <a:xfrm>
                        <a:off x="0" y="0"/>
                        <a:ext cx="534035" cy="230505"/>
                      </a:xfrm>
                      <a:prstGeom prst="rect">
                        <a:avLst/>
                      </a:prstGeom>
                      <a:noFill/>
                      <a:ln w="9525">
                        <a:noFill/>
                      </a:ln>
                    </wps:spPr>
                    <wps:txbx>
                      <w:txbxContent>
                        <w:p>
                          <w:pPr>
                            <w:pStyle w:val="2"/>
                            <w:rPr>
                              <w:rStyle w:val="5"/>
                              <w:rFonts w:hint="eastAsia" w:ascii="宋体" w:hAnsi="宋体" w:cs="宋体"/>
                              <w:sz w:val="28"/>
                              <w:szCs w:val="28"/>
                            </w:rPr>
                          </w:pPr>
                          <w:r>
                            <w:rPr>
                              <w:rFonts w:hint="eastAsia" w:ascii="宋体" w:hAnsi="宋体" w:cs="宋体"/>
                              <w:sz w:val="28"/>
                              <w:szCs w:val="28"/>
                            </w:rPr>
                            <w:fldChar w:fldCharType="begin"/>
                          </w:r>
                          <w:r>
                            <w:rPr>
                              <w:rStyle w:val="5"/>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5"/>
                              <w:rFonts w:ascii="宋体" w:hAnsi="宋体" w:cs="宋体"/>
                              <w:sz w:val="28"/>
                              <w:szCs w:val="28"/>
                              <w:lang/>
                            </w:rPr>
                            <w:t>- 2 -</w:t>
                          </w:r>
                          <w:r>
                            <w:rPr>
                              <w:rFonts w:hint="eastAsia" w:ascii="宋体" w:hAnsi="宋体" w:cs="宋体"/>
                              <w:sz w:val="28"/>
                              <w:szCs w:val="28"/>
                            </w:rPr>
                            <w:fldChar w:fldCharType="end"/>
                          </w:r>
                        </w:p>
                      </w:txbxContent>
                    </wps:txbx>
                    <wps:bodyPr wrap="none" lIns="0" tIns="0" rIns="0" bIns="0" upright="0">
                      <a:spAutoFit/>
                    </wps:bodyPr>
                  </wps:wsp>
                </a:graphicData>
              </a:graphic>
            </wp:anchor>
          </w:drawing>
        </mc:Choice>
        <mc:Fallback>
          <w:pict>
            <v:shape id="文本框 3" o:spid="_x0000_s1026" o:spt="202" type="#_x0000_t202" style="position:absolute;left:0pt;margin-left:396.8pt;margin-top:-9.45pt;height:18.15pt;width:42.05pt;mso-position-horizontal-relative:margin;mso-wrap-style:none;z-index:251658240;mso-width-relative:page;mso-height-relative:page;" filled="f" stroked="f" coordsize="21600,21600" o:gfxdata="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Ki4P29UAAAAKAQAADwAAAAAAAAABACAAAAAiAAAAZHJzL2Rvd25yZXYueG1sUEsBAhQA&#10;FAAAAAgAh07iQG/5zsi8AQAAUgMAAA4AAAAAAAAAAQAgAAAAJAEAAGRycy9lMm9Eb2MueG1sUEsF&#10;BgAAAAAGAAYAWQEAAFIFAAAAAA==&#10;">
              <v:fill on="f" focussize="0,0"/>
              <v:stroke on="f"/>
              <v:imagedata o:title=""/>
              <o:lock v:ext="edit" aspectratio="f"/>
              <v:textbox inset="0mm,0mm,0mm,0mm" style="mso-fit-shape-to-text:t;">
                <w:txbxContent>
                  <w:p>
                    <w:pPr>
                      <w:pStyle w:val="2"/>
                      <w:rPr>
                        <w:rStyle w:val="5"/>
                        <w:rFonts w:hint="eastAsia" w:ascii="宋体" w:hAnsi="宋体" w:cs="宋体"/>
                        <w:sz w:val="28"/>
                        <w:szCs w:val="28"/>
                      </w:rPr>
                    </w:pPr>
                    <w:r>
                      <w:rPr>
                        <w:rFonts w:hint="eastAsia" w:ascii="宋体" w:hAnsi="宋体" w:cs="宋体"/>
                        <w:sz w:val="28"/>
                        <w:szCs w:val="28"/>
                      </w:rPr>
                      <w:fldChar w:fldCharType="begin"/>
                    </w:r>
                    <w:r>
                      <w:rPr>
                        <w:rStyle w:val="5"/>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5"/>
                        <w:rFonts w:ascii="宋体" w:hAnsi="宋体" w:cs="宋体"/>
                        <w:sz w:val="28"/>
                        <w:szCs w:val="28"/>
                        <w:lang/>
                      </w:rPr>
                      <w:t>- 2 -</w:t>
                    </w:r>
                    <w:r>
                      <w:rPr>
                        <w:rFonts w:hint="eastAsia" w:ascii="宋体" w:hAnsi="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93"/>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0B3"/>
    <w:rsid w:val="00023839"/>
    <w:rsid w:val="00034654"/>
    <w:rsid w:val="00036500"/>
    <w:rsid w:val="000A3274"/>
    <w:rsid w:val="000E74C1"/>
    <w:rsid w:val="00131AE0"/>
    <w:rsid w:val="00220B2E"/>
    <w:rsid w:val="003524F1"/>
    <w:rsid w:val="0036744B"/>
    <w:rsid w:val="0038588D"/>
    <w:rsid w:val="003D2162"/>
    <w:rsid w:val="003D56B0"/>
    <w:rsid w:val="004D661A"/>
    <w:rsid w:val="005348F0"/>
    <w:rsid w:val="0056660F"/>
    <w:rsid w:val="005B7580"/>
    <w:rsid w:val="00607D0B"/>
    <w:rsid w:val="00646B32"/>
    <w:rsid w:val="006D60D3"/>
    <w:rsid w:val="00793E53"/>
    <w:rsid w:val="007C4F16"/>
    <w:rsid w:val="00820681"/>
    <w:rsid w:val="00844A0A"/>
    <w:rsid w:val="008568BE"/>
    <w:rsid w:val="00877BCF"/>
    <w:rsid w:val="008B7E61"/>
    <w:rsid w:val="009240FC"/>
    <w:rsid w:val="00925DD1"/>
    <w:rsid w:val="009267F6"/>
    <w:rsid w:val="00943D16"/>
    <w:rsid w:val="009C52BC"/>
    <w:rsid w:val="009D0DE0"/>
    <w:rsid w:val="00A2280E"/>
    <w:rsid w:val="00B13588"/>
    <w:rsid w:val="00BA30B3"/>
    <w:rsid w:val="00C40AC6"/>
    <w:rsid w:val="00CC1B93"/>
    <w:rsid w:val="00D054BF"/>
    <w:rsid w:val="00D11F85"/>
    <w:rsid w:val="00D9703F"/>
    <w:rsid w:val="00DB4797"/>
    <w:rsid w:val="00DD46D1"/>
    <w:rsid w:val="00E41DF8"/>
    <w:rsid w:val="00E84432"/>
    <w:rsid w:val="00F97D0E"/>
    <w:rsid w:val="032807FD"/>
    <w:rsid w:val="077C1667"/>
    <w:rsid w:val="101655B4"/>
    <w:rsid w:val="193D2FE7"/>
    <w:rsid w:val="1CA660D4"/>
    <w:rsid w:val="2BEF13A3"/>
    <w:rsid w:val="31D511A0"/>
    <w:rsid w:val="37697828"/>
    <w:rsid w:val="3D9821D5"/>
    <w:rsid w:val="40BA50EE"/>
    <w:rsid w:val="40E235C1"/>
    <w:rsid w:val="55230FA5"/>
    <w:rsid w:val="59A50830"/>
    <w:rsid w:val="5CEF0C45"/>
    <w:rsid w:val="61DF4622"/>
    <w:rsid w:val="64CD21A3"/>
    <w:rsid w:val="6B6C2D9B"/>
    <w:rsid w:val="6D0B2540"/>
    <w:rsid w:val="6F221ADC"/>
    <w:rsid w:val="739C580D"/>
    <w:rsid w:val="7823164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character" w:styleId="6">
    <w:name w:val="Hyperlink"/>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1185</Words>
  <Characters>6759</Characters>
  <Lines>56</Lines>
  <Paragraphs>15</Paragraphs>
  <TotalTime>2</TotalTime>
  <ScaleCrop>false</ScaleCrop>
  <LinksUpToDate>false</LinksUpToDate>
  <CharactersWithSpaces>7929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2018-04-09T08:53:00Z</dcterms:created>
  <dc:creator>rdz</dc:creator>
  <cp:lastModifiedBy>Administrator</cp:lastModifiedBy>
  <cp:lastPrinted>2018-04-20T01:18:00Z</cp:lastPrinted>
  <dcterms:modified xsi:type="dcterms:W3CDTF">2019-01-16T09:01:37Z</dcterms:modified>
  <dc:title>张家界市全域旅游促进条例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