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A84" w:rsidRPr="00B82D05" w:rsidRDefault="00587A84" w:rsidP="00587A84">
      <w:pPr>
        <w:spacing w:line="590" w:lineRule="exact"/>
        <w:ind w:firstLineChars="200" w:firstLine="640"/>
        <w:rPr>
          <w:rFonts w:ascii="Times New Roman" w:eastAsia="仿宋_GB2312" w:hAnsi="Times New Roman" w:hint="eastAsia"/>
          <w:sz w:val="32"/>
          <w:szCs w:val="32"/>
        </w:rPr>
      </w:pPr>
    </w:p>
    <w:p w:rsidR="00587A84" w:rsidRPr="00B82D05" w:rsidRDefault="00587A84" w:rsidP="00587A84">
      <w:pPr>
        <w:spacing w:line="590" w:lineRule="exact"/>
        <w:ind w:firstLineChars="200" w:firstLine="640"/>
        <w:rPr>
          <w:rFonts w:ascii="Times New Roman" w:eastAsia="仿宋_GB2312" w:hAnsi="Times New Roman"/>
          <w:sz w:val="32"/>
          <w:szCs w:val="32"/>
        </w:rPr>
      </w:pPr>
    </w:p>
    <w:p w:rsidR="00587A84" w:rsidRPr="00B82D05" w:rsidRDefault="00587A84" w:rsidP="00587A84">
      <w:pPr>
        <w:spacing w:line="590" w:lineRule="exact"/>
        <w:jc w:val="center"/>
        <w:rPr>
          <w:rFonts w:ascii="Times New Roman" w:hAnsi="Times New Roman"/>
          <w:sz w:val="44"/>
          <w:szCs w:val="44"/>
        </w:rPr>
      </w:pPr>
      <w:r w:rsidRPr="00B82D05">
        <w:rPr>
          <w:rFonts w:ascii="Times New Roman" w:hAnsi="Times New Roman"/>
          <w:sz w:val="44"/>
          <w:szCs w:val="44"/>
        </w:rPr>
        <w:t>徐州市农药经营使用管理条例</w:t>
      </w:r>
    </w:p>
    <w:p w:rsidR="00587A84" w:rsidRPr="00B82D05" w:rsidRDefault="00587A84" w:rsidP="00587A84">
      <w:pPr>
        <w:spacing w:line="590" w:lineRule="exact"/>
        <w:rPr>
          <w:rFonts w:ascii="Times New Roman" w:eastAsia="仿宋_GB2312" w:hAnsi="Times New Roman"/>
          <w:sz w:val="32"/>
          <w:szCs w:val="32"/>
        </w:rPr>
      </w:pPr>
    </w:p>
    <w:p w:rsidR="00587A84" w:rsidRPr="00B82D05" w:rsidRDefault="00587A84" w:rsidP="00587A84">
      <w:pPr>
        <w:spacing w:line="590" w:lineRule="exact"/>
        <w:ind w:leftChars="200" w:left="420" w:rightChars="200" w:right="420"/>
        <w:rPr>
          <w:rFonts w:ascii="Times New Roman" w:eastAsia="楷体_GB2312" w:hAnsi="Times New Roman"/>
          <w:sz w:val="32"/>
          <w:szCs w:val="32"/>
        </w:rPr>
      </w:pPr>
      <w:r w:rsidRPr="00B82D05">
        <w:rPr>
          <w:rFonts w:ascii="Times New Roman" w:eastAsia="楷体_GB2312" w:hAnsi="Times New Roman"/>
          <w:sz w:val="32"/>
          <w:szCs w:val="32"/>
        </w:rPr>
        <w:t>(</w:t>
      </w:r>
      <w:smartTag w:uri="urn:schemas-microsoft-com:office:smarttags" w:element="chsdate">
        <w:smartTagPr>
          <w:attr w:name="Year" w:val="2003"/>
          <w:attr w:name="Month" w:val="11"/>
          <w:attr w:name="Day" w:val="28"/>
          <w:attr w:name="IsLunarDate" w:val="False"/>
          <w:attr w:name="IsROCDate" w:val="False"/>
        </w:smartTagPr>
        <w:r w:rsidRPr="00B82D05">
          <w:rPr>
            <w:rFonts w:ascii="Times New Roman" w:eastAsia="楷体_GB2312" w:hAnsi="Times New Roman"/>
            <w:sz w:val="32"/>
            <w:szCs w:val="32"/>
          </w:rPr>
          <w:t>2003</w:t>
        </w:r>
        <w:r w:rsidRPr="00B82D05">
          <w:rPr>
            <w:rFonts w:ascii="Times New Roman" w:eastAsia="楷体_GB2312" w:hAnsi="Times New Roman"/>
            <w:sz w:val="32"/>
            <w:szCs w:val="32"/>
          </w:rPr>
          <w:t>年</w:t>
        </w:r>
        <w:r w:rsidRPr="00B82D05">
          <w:rPr>
            <w:rFonts w:ascii="Times New Roman" w:eastAsia="楷体_GB2312" w:hAnsi="Times New Roman"/>
            <w:sz w:val="32"/>
            <w:szCs w:val="32"/>
          </w:rPr>
          <w:t>11</w:t>
        </w:r>
        <w:r w:rsidRPr="00B82D05">
          <w:rPr>
            <w:rFonts w:ascii="Times New Roman" w:eastAsia="楷体_GB2312" w:hAnsi="Times New Roman"/>
            <w:sz w:val="32"/>
            <w:szCs w:val="32"/>
          </w:rPr>
          <w:t>月</w:t>
        </w:r>
        <w:r w:rsidRPr="00B82D05">
          <w:rPr>
            <w:rFonts w:ascii="Times New Roman" w:eastAsia="楷体_GB2312" w:hAnsi="Times New Roman"/>
            <w:sz w:val="32"/>
            <w:szCs w:val="32"/>
          </w:rPr>
          <w:t>28</w:t>
        </w:r>
        <w:r w:rsidRPr="00B82D05">
          <w:rPr>
            <w:rFonts w:ascii="Times New Roman" w:eastAsia="楷体_GB2312" w:hAnsi="Times New Roman"/>
            <w:sz w:val="32"/>
            <w:szCs w:val="32"/>
          </w:rPr>
          <w:t>日</w:t>
        </w:r>
      </w:smartTag>
      <w:r w:rsidRPr="00B82D05">
        <w:rPr>
          <w:rFonts w:ascii="Times New Roman" w:eastAsia="楷体_GB2312" w:hAnsi="Times New Roman"/>
          <w:sz w:val="32"/>
          <w:szCs w:val="32"/>
        </w:rPr>
        <w:t>徐州市第十三届人民代表大会常务委员会第八次会议制定</w:t>
      </w:r>
      <w:r w:rsidRPr="00B82D05">
        <w:rPr>
          <w:rFonts w:ascii="Times New Roman" w:eastAsia="楷体_GB2312" w:hAnsi="Times New Roman"/>
          <w:sz w:val="32"/>
          <w:szCs w:val="32"/>
        </w:rPr>
        <w:t xml:space="preserve">  </w:t>
      </w:r>
      <w:smartTag w:uri="urn:schemas-microsoft-com:office:smarttags" w:element="chsdate">
        <w:smartTagPr>
          <w:attr w:name="Year" w:val="2003"/>
          <w:attr w:name="Month" w:val="12"/>
          <w:attr w:name="Day" w:val="19"/>
          <w:attr w:name="IsLunarDate" w:val="False"/>
          <w:attr w:name="IsROCDate" w:val="False"/>
        </w:smartTagPr>
        <w:r w:rsidRPr="00B82D05">
          <w:rPr>
            <w:rFonts w:ascii="Times New Roman" w:eastAsia="楷体_GB2312" w:hAnsi="Times New Roman"/>
            <w:sz w:val="32"/>
            <w:szCs w:val="32"/>
          </w:rPr>
          <w:t>2003</w:t>
        </w:r>
        <w:r w:rsidRPr="00B82D05">
          <w:rPr>
            <w:rFonts w:ascii="Times New Roman" w:eastAsia="楷体_GB2312" w:hAnsi="Times New Roman"/>
            <w:sz w:val="32"/>
            <w:szCs w:val="32"/>
          </w:rPr>
          <w:t>年</w:t>
        </w:r>
        <w:r w:rsidRPr="00B82D05">
          <w:rPr>
            <w:rFonts w:ascii="Times New Roman" w:eastAsia="楷体_GB2312" w:hAnsi="Times New Roman"/>
            <w:sz w:val="32"/>
            <w:szCs w:val="32"/>
          </w:rPr>
          <w:t>12</w:t>
        </w:r>
        <w:r w:rsidRPr="00B82D05">
          <w:rPr>
            <w:rFonts w:ascii="Times New Roman" w:eastAsia="楷体_GB2312" w:hAnsi="Times New Roman"/>
            <w:sz w:val="32"/>
            <w:szCs w:val="32"/>
          </w:rPr>
          <w:t>月</w:t>
        </w:r>
        <w:r w:rsidRPr="00B82D05">
          <w:rPr>
            <w:rFonts w:ascii="Times New Roman" w:eastAsia="楷体_GB2312" w:hAnsi="Times New Roman"/>
            <w:sz w:val="32"/>
            <w:szCs w:val="32"/>
          </w:rPr>
          <w:t>19</w:t>
        </w:r>
        <w:r w:rsidRPr="00B82D05">
          <w:rPr>
            <w:rFonts w:ascii="Times New Roman" w:eastAsia="楷体_GB2312" w:hAnsi="Times New Roman"/>
            <w:sz w:val="32"/>
            <w:szCs w:val="32"/>
          </w:rPr>
          <w:t>日</w:t>
        </w:r>
      </w:smartTag>
      <w:r w:rsidRPr="00B82D05">
        <w:rPr>
          <w:rFonts w:ascii="Times New Roman" w:eastAsia="楷体_GB2312" w:hAnsi="Times New Roman"/>
          <w:sz w:val="32"/>
          <w:szCs w:val="32"/>
        </w:rPr>
        <w:t>江苏省第十届人民代表大会常务委员会第七次会议批准</w:t>
      </w:r>
      <w:r w:rsidRPr="00B82D05">
        <w:rPr>
          <w:rFonts w:ascii="Times New Roman" w:eastAsia="楷体_GB2312" w:hAnsi="Times New Roman"/>
          <w:sz w:val="32"/>
          <w:szCs w:val="32"/>
        </w:rPr>
        <w:t>)</w:t>
      </w:r>
    </w:p>
    <w:p w:rsidR="00587A84" w:rsidRPr="00B82D05" w:rsidRDefault="00587A84" w:rsidP="00587A84">
      <w:pPr>
        <w:spacing w:line="590" w:lineRule="exact"/>
        <w:rPr>
          <w:rFonts w:ascii="Times New Roman" w:eastAsia="仿宋_GB2312" w:hAnsi="Times New Roman"/>
          <w:sz w:val="32"/>
          <w:szCs w:val="32"/>
        </w:rPr>
      </w:pP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黑体" w:hAnsi="Times New Roman" w:hint="eastAsia"/>
          <w:sz w:val="32"/>
          <w:szCs w:val="32"/>
        </w:rPr>
        <w:t>第一条</w:t>
      </w:r>
      <w:r w:rsidRPr="00B82D05">
        <w:rPr>
          <w:rFonts w:ascii="Times New Roman" w:eastAsia="仿宋_GB2312" w:hAnsi="Times New Roman"/>
          <w:sz w:val="32"/>
          <w:szCs w:val="32"/>
        </w:rPr>
        <w:t xml:space="preserve">  </w:t>
      </w:r>
      <w:r w:rsidRPr="00B82D05">
        <w:rPr>
          <w:rFonts w:ascii="Times New Roman" w:eastAsia="仿宋_GB2312" w:hAnsi="Times New Roman"/>
          <w:sz w:val="32"/>
          <w:szCs w:val="32"/>
        </w:rPr>
        <w:t>为了加强对农药经营和使用的监督管理，保护农业生产和生态环境，保障人畜安全，根据国务院《农药管理条例》等法律、法规，结合本市实际，制定本条例。</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黑体" w:hAnsi="Times New Roman" w:hint="eastAsia"/>
          <w:sz w:val="32"/>
          <w:szCs w:val="32"/>
        </w:rPr>
        <w:t>第二条</w:t>
      </w:r>
      <w:r w:rsidRPr="00B82D05">
        <w:rPr>
          <w:rFonts w:ascii="Times New Roman" w:eastAsia="仿宋_GB2312" w:hAnsi="Times New Roman"/>
          <w:sz w:val="32"/>
          <w:szCs w:val="32"/>
        </w:rPr>
        <w:t xml:space="preserve">  </w:t>
      </w:r>
      <w:r w:rsidRPr="00B82D05">
        <w:rPr>
          <w:rFonts w:ascii="Times New Roman" w:eastAsia="仿宋_GB2312" w:hAnsi="Times New Roman"/>
          <w:sz w:val="32"/>
          <w:szCs w:val="32"/>
        </w:rPr>
        <w:t>在本市行政区域内经营和使用农药及其他从事相关活动的，应当遵守本条例。</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黑体" w:hAnsi="Times New Roman" w:hint="eastAsia"/>
          <w:sz w:val="32"/>
          <w:szCs w:val="32"/>
        </w:rPr>
        <w:t>第三条</w:t>
      </w:r>
      <w:r w:rsidRPr="00B82D05">
        <w:rPr>
          <w:rFonts w:ascii="Times New Roman" w:eastAsia="仿宋_GB2312" w:hAnsi="Times New Roman"/>
          <w:sz w:val="32"/>
          <w:szCs w:val="32"/>
        </w:rPr>
        <w:t xml:space="preserve">  </w:t>
      </w:r>
      <w:r w:rsidRPr="00B82D05">
        <w:rPr>
          <w:rFonts w:ascii="Times New Roman" w:eastAsia="仿宋_GB2312" w:hAnsi="Times New Roman"/>
          <w:sz w:val="32"/>
          <w:szCs w:val="32"/>
        </w:rPr>
        <w:t>市、县（市）、贾汪区农业行政主管部门负责本辖区内的农药经营和使用的监督管理工作。</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仿宋_GB2312" w:hAnsi="Times New Roman"/>
          <w:sz w:val="32"/>
          <w:szCs w:val="32"/>
        </w:rPr>
        <w:t>工商、质量技术监督、环保、食品监督、林牧渔业等部门依法各司其职，协同实施本条例。</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黑体" w:hAnsi="Times New Roman" w:hint="eastAsia"/>
          <w:sz w:val="32"/>
          <w:szCs w:val="32"/>
        </w:rPr>
        <w:t>第四条</w:t>
      </w:r>
      <w:r w:rsidRPr="00B82D05">
        <w:rPr>
          <w:rFonts w:ascii="Times New Roman" w:eastAsia="仿宋_GB2312" w:hAnsi="Times New Roman"/>
          <w:sz w:val="32"/>
          <w:szCs w:val="32"/>
        </w:rPr>
        <w:t xml:space="preserve">  </w:t>
      </w:r>
      <w:r w:rsidRPr="00B82D05">
        <w:rPr>
          <w:rFonts w:ascii="Times New Roman" w:eastAsia="仿宋_GB2312" w:hAnsi="Times New Roman"/>
          <w:sz w:val="32"/>
          <w:szCs w:val="32"/>
        </w:rPr>
        <w:t>农药经营者应当具备国务院《农药管理条例》规定的条件。</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黑体" w:hAnsi="Times New Roman" w:hint="eastAsia"/>
          <w:sz w:val="32"/>
          <w:szCs w:val="32"/>
        </w:rPr>
        <w:t>第五条</w:t>
      </w:r>
      <w:r w:rsidRPr="00B82D05">
        <w:rPr>
          <w:rFonts w:ascii="Times New Roman" w:eastAsia="黑体" w:hAnsi="Times New Roman" w:hint="eastAsia"/>
          <w:sz w:val="32"/>
          <w:szCs w:val="32"/>
        </w:rPr>
        <w:t xml:space="preserve"> </w:t>
      </w:r>
      <w:r w:rsidRPr="00B82D05">
        <w:rPr>
          <w:rFonts w:ascii="Times New Roman" w:eastAsia="仿宋_GB2312" w:hAnsi="Times New Roman"/>
          <w:sz w:val="32"/>
          <w:szCs w:val="32"/>
        </w:rPr>
        <w:t xml:space="preserve"> </w:t>
      </w:r>
      <w:r w:rsidRPr="00B82D05">
        <w:rPr>
          <w:rFonts w:ascii="Times New Roman" w:eastAsia="仿宋_GB2312" w:hAnsi="Times New Roman"/>
          <w:sz w:val="32"/>
          <w:szCs w:val="32"/>
        </w:rPr>
        <w:t>农药经营权不得委托、转让或者出租。</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黑体" w:hAnsi="Times New Roman" w:hint="eastAsia"/>
          <w:sz w:val="32"/>
          <w:szCs w:val="32"/>
        </w:rPr>
        <w:t>第六条</w:t>
      </w:r>
      <w:r w:rsidRPr="00B82D05">
        <w:rPr>
          <w:rFonts w:ascii="Times New Roman" w:eastAsia="黑体" w:hAnsi="Times New Roman" w:hint="eastAsia"/>
          <w:sz w:val="32"/>
          <w:szCs w:val="32"/>
        </w:rPr>
        <w:t xml:space="preserve"> </w:t>
      </w:r>
      <w:r w:rsidRPr="00B82D05">
        <w:rPr>
          <w:rFonts w:ascii="Times New Roman" w:eastAsia="仿宋_GB2312" w:hAnsi="Times New Roman"/>
          <w:sz w:val="32"/>
          <w:szCs w:val="32"/>
        </w:rPr>
        <w:t xml:space="preserve"> </w:t>
      </w:r>
      <w:r w:rsidRPr="00B82D05">
        <w:rPr>
          <w:rFonts w:ascii="Times New Roman" w:eastAsia="仿宋_GB2312" w:hAnsi="Times New Roman"/>
          <w:sz w:val="32"/>
          <w:szCs w:val="32"/>
        </w:rPr>
        <w:t>禁止农业行政主管部门及其执法监督管理机构工作人员从事或者参与农药经营活动。</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黑体" w:hAnsi="Times New Roman" w:hint="eastAsia"/>
          <w:sz w:val="32"/>
          <w:szCs w:val="32"/>
        </w:rPr>
        <w:lastRenderedPageBreak/>
        <w:t>第七条</w:t>
      </w:r>
      <w:r w:rsidRPr="00B82D05">
        <w:rPr>
          <w:rFonts w:ascii="Times New Roman" w:eastAsia="仿宋_GB2312" w:hAnsi="Times New Roman"/>
          <w:sz w:val="32"/>
          <w:szCs w:val="32"/>
        </w:rPr>
        <w:t xml:space="preserve">  </w:t>
      </w:r>
      <w:r w:rsidRPr="00B82D05">
        <w:rPr>
          <w:rFonts w:ascii="Times New Roman" w:eastAsia="仿宋_GB2312" w:hAnsi="Times New Roman"/>
          <w:sz w:val="32"/>
          <w:szCs w:val="32"/>
        </w:rPr>
        <w:t>农药经营者购进农药时，应当向供货单位索取农药登记证和生产许可证或者批准生产文件的复印件，并将农药产品与产品标签或者说明书、产品质量合格证核对无误后，方可进货。</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黑体" w:hAnsi="Times New Roman" w:hint="eastAsia"/>
          <w:sz w:val="32"/>
          <w:szCs w:val="32"/>
        </w:rPr>
        <w:t>第八条</w:t>
      </w:r>
      <w:r w:rsidRPr="00B82D05">
        <w:rPr>
          <w:rFonts w:ascii="Times New Roman" w:eastAsia="仿宋_GB2312" w:hAnsi="Times New Roman"/>
          <w:sz w:val="32"/>
          <w:szCs w:val="32"/>
        </w:rPr>
        <w:t xml:space="preserve">  </w:t>
      </w:r>
      <w:r w:rsidRPr="00B82D05">
        <w:rPr>
          <w:rFonts w:ascii="Times New Roman" w:eastAsia="仿宋_GB2312" w:hAnsi="Times New Roman"/>
          <w:sz w:val="32"/>
          <w:szCs w:val="32"/>
        </w:rPr>
        <w:t>农药经营者应当向购买农药者正确说明农药的用途、用量、使用方法、毒副作用、中毒急救措施和其他注意事项，不得夸大农药的适用范围或者农药的使用功效。</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黑体" w:hAnsi="Times New Roman" w:hint="eastAsia"/>
          <w:sz w:val="32"/>
          <w:szCs w:val="32"/>
        </w:rPr>
        <w:t>第九条</w:t>
      </w:r>
      <w:r w:rsidRPr="00B82D05">
        <w:rPr>
          <w:rFonts w:ascii="Times New Roman" w:eastAsia="仿宋_GB2312" w:hAnsi="Times New Roman"/>
          <w:sz w:val="32"/>
          <w:szCs w:val="32"/>
        </w:rPr>
        <w:t xml:space="preserve">  </w:t>
      </w:r>
      <w:r w:rsidRPr="00B82D05">
        <w:rPr>
          <w:rFonts w:ascii="Times New Roman" w:eastAsia="仿宋_GB2312" w:hAnsi="Times New Roman"/>
          <w:sz w:val="32"/>
          <w:szCs w:val="32"/>
        </w:rPr>
        <w:t>农业行政主管部门应当做好农药安全和合理使用的指导工作，对农药使用者进行农药知识和使用技术的培训。</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黑体" w:hAnsi="Times New Roman" w:hint="eastAsia"/>
          <w:sz w:val="32"/>
          <w:szCs w:val="32"/>
        </w:rPr>
        <w:t>第十条</w:t>
      </w:r>
      <w:r w:rsidRPr="00B82D05">
        <w:rPr>
          <w:rFonts w:ascii="Times New Roman" w:eastAsia="黑体" w:hAnsi="Times New Roman" w:hint="eastAsia"/>
          <w:sz w:val="32"/>
          <w:szCs w:val="32"/>
        </w:rPr>
        <w:t xml:space="preserve"> </w:t>
      </w:r>
      <w:r w:rsidRPr="00B82D05">
        <w:rPr>
          <w:rFonts w:ascii="Times New Roman" w:eastAsia="仿宋_GB2312" w:hAnsi="Times New Roman"/>
          <w:sz w:val="32"/>
          <w:szCs w:val="32"/>
        </w:rPr>
        <w:t xml:space="preserve"> </w:t>
      </w:r>
      <w:r w:rsidRPr="00B82D05">
        <w:rPr>
          <w:rFonts w:ascii="Times New Roman" w:eastAsia="仿宋_GB2312" w:hAnsi="Times New Roman"/>
          <w:sz w:val="32"/>
          <w:szCs w:val="32"/>
        </w:rPr>
        <w:t>鼓励、支持经营和使用高效、低毒、生物农药。</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黑体" w:hAnsi="Times New Roman" w:hint="eastAsia"/>
          <w:sz w:val="32"/>
          <w:szCs w:val="32"/>
        </w:rPr>
        <w:t>第十一条</w:t>
      </w:r>
      <w:r w:rsidRPr="00B82D05">
        <w:rPr>
          <w:rFonts w:ascii="Times New Roman" w:eastAsia="黑体" w:hAnsi="Times New Roman" w:hint="eastAsia"/>
          <w:sz w:val="32"/>
          <w:szCs w:val="32"/>
        </w:rPr>
        <w:t xml:space="preserve">  </w:t>
      </w:r>
      <w:r w:rsidRPr="00B82D05">
        <w:rPr>
          <w:rFonts w:ascii="Times New Roman" w:eastAsia="仿宋_GB2312" w:hAnsi="Times New Roman"/>
          <w:sz w:val="32"/>
          <w:szCs w:val="32"/>
        </w:rPr>
        <w:t>禁止经营下列农药：</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仿宋_GB2312" w:hAnsi="Times New Roman"/>
          <w:sz w:val="32"/>
          <w:szCs w:val="32"/>
        </w:rPr>
        <w:t>（一）包装无标签，或者标签内容不齐全又无说明书的，标签内容与农药登记证内容不一致的；</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仿宋_GB2312" w:hAnsi="Times New Roman"/>
          <w:sz w:val="32"/>
          <w:szCs w:val="32"/>
        </w:rPr>
        <w:t>（二）超过质量保证期限并已报废的；</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仿宋_GB2312" w:hAnsi="Times New Roman"/>
          <w:sz w:val="32"/>
          <w:szCs w:val="32"/>
        </w:rPr>
        <w:t>（三）国家和省明令淘汰并禁止生产、经营和使用的；</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仿宋_GB2312" w:hAnsi="Times New Roman"/>
          <w:sz w:val="32"/>
          <w:szCs w:val="32"/>
        </w:rPr>
        <w:t>（四）其他禁止经营的农药。</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黑体" w:hAnsi="Times New Roman" w:hint="eastAsia"/>
          <w:sz w:val="32"/>
          <w:szCs w:val="32"/>
        </w:rPr>
        <w:t>第十二条</w:t>
      </w:r>
      <w:r w:rsidRPr="00B82D05">
        <w:rPr>
          <w:rFonts w:ascii="Times New Roman" w:eastAsia="黑体" w:hAnsi="Times New Roman" w:hint="eastAsia"/>
          <w:sz w:val="32"/>
          <w:szCs w:val="32"/>
        </w:rPr>
        <w:t xml:space="preserve"> </w:t>
      </w:r>
      <w:r w:rsidRPr="00B82D05">
        <w:rPr>
          <w:rFonts w:ascii="Times New Roman" w:eastAsia="仿宋_GB2312" w:hAnsi="Times New Roman"/>
          <w:sz w:val="32"/>
          <w:szCs w:val="32"/>
        </w:rPr>
        <w:t xml:space="preserve"> </w:t>
      </w:r>
      <w:r w:rsidRPr="00B82D05">
        <w:rPr>
          <w:rFonts w:ascii="Times New Roman" w:eastAsia="仿宋_GB2312" w:hAnsi="Times New Roman"/>
          <w:sz w:val="32"/>
          <w:szCs w:val="32"/>
        </w:rPr>
        <w:t>超过产品质量保证期限尚有使用价值可以销售的农药，须经省农业行政主管部门认定的农药检定机构检验，符合标准的，方可以在规定期限内销售，但必须注明</w:t>
      </w:r>
      <w:r w:rsidRPr="00B82D05">
        <w:rPr>
          <w:rFonts w:ascii="Times New Roman" w:eastAsia="仿宋_GB2312" w:hAnsi="Times New Roman"/>
          <w:sz w:val="32"/>
          <w:szCs w:val="32"/>
        </w:rPr>
        <w:t>“</w:t>
      </w:r>
      <w:r w:rsidRPr="00B82D05">
        <w:rPr>
          <w:rFonts w:ascii="Times New Roman" w:eastAsia="仿宋_GB2312" w:hAnsi="Times New Roman"/>
          <w:sz w:val="32"/>
          <w:szCs w:val="32"/>
        </w:rPr>
        <w:t>过期农药</w:t>
      </w:r>
      <w:r w:rsidRPr="00B82D05">
        <w:rPr>
          <w:rFonts w:ascii="Times New Roman" w:eastAsia="仿宋_GB2312" w:hAnsi="Times New Roman"/>
          <w:sz w:val="32"/>
          <w:szCs w:val="32"/>
        </w:rPr>
        <w:t>”</w:t>
      </w:r>
      <w:r w:rsidRPr="00B82D05">
        <w:rPr>
          <w:rFonts w:ascii="Times New Roman" w:eastAsia="仿宋_GB2312" w:hAnsi="Times New Roman"/>
          <w:sz w:val="32"/>
          <w:szCs w:val="32"/>
        </w:rPr>
        <w:t>字样，并附使用方法和用量的说明。</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黑体" w:hAnsi="Times New Roman" w:hint="eastAsia"/>
          <w:sz w:val="32"/>
          <w:szCs w:val="32"/>
        </w:rPr>
        <w:t>第十三条</w:t>
      </w:r>
      <w:r w:rsidRPr="00B82D05">
        <w:rPr>
          <w:rFonts w:ascii="Times New Roman" w:eastAsia="仿宋_GB2312" w:hAnsi="Times New Roman"/>
          <w:sz w:val="32"/>
          <w:szCs w:val="32"/>
        </w:rPr>
        <w:t xml:space="preserve">  </w:t>
      </w:r>
      <w:r w:rsidRPr="00B82D05">
        <w:rPr>
          <w:rFonts w:ascii="Times New Roman" w:eastAsia="仿宋_GB2312" w:hAnsi="Times New Roman"/>
          <w:sz w:val="32"/>
          <w:szCs w:val="32"/>
        </w:rPr>
        <w:t>禁止在下列区域或者农作物上使用剧毒、高毒、高残留农药：</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仿宋_GB2312" w:hAnsi="Times New Roman"/>
          <w:sz w:val="32"/>
          <w:szCs w:val="32"/>
        </w:rPr>
        <w:t>（一）有机、绿色和无公害农产品生产基地；</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仿宋_GB2312" w:hAnsi="Times New Roman"/>
          <w:sz w:val="32"/>
          <w:szCs w:val="32"/>
        </w:rPr>
        <w:lastRenderedPageBreak/>
        <w:t>（二）自然保护区和野生动物栖息地；</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仿宋_GB2312" w:hAnsi="Times New Roman"/>
          <w:sz w:val="32"/>
          <w:szCs w:val="32"/>
        </w:rPr>
        <w:t>（三）粮食、蔬菜、瓜果和中草药材等。</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仿宋_GB2312" w:hAnsi="Times New Roman"/>
          <w:sz w:val="32"/>
          <w:szCs w:val="32"/>
        </w:rPr>
        <w:t>城市园林绿化和公共卫生场所的病虫害防治，应当使用高效、低毒、低残留农药。</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黑体" w:hAnsi="Times New Roman" w:hint="eastAsia"/>
          <w:sz w:val="32"/>
          <w:szCs w:val="32"/>
        </w:rPr>
        <w:t>第十四条</w:t>
      </w:r>
      <w:r w:rsidRPr="00B82D05">
        <w:rPr>
          <w:rFonts w:ascii="Times New Roman" w:eastAsia="仿宋_GB2312" w:hAnsi="Times New Roman"/>
          <w:sz w:val="32"/>
          <w:szCs w:val="32"/>
        </w:rPr>
        <w:t xml:space="preserve">  </w:t>
      </w:r>
      <w:r w:rsidRPr="00B82D05">
        <w:rPr>
          <w:rFonts w:ascii="Times New Roman" w:eastAsia="仿宋_GB2312" w:hAnsi="Times New Roman"/>
          <w:sz w:val="32"/>
          <w:szCs w:val="32"/>
        </w:rPr>
        <w:t>农药使用者应当遵守以下规定：</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仿宋_GB2312" w:hAnsi="Times New Roman"/>
          <w:sz w:val="32"/>
          <w:szCs w:val="32"/>
        </w:rPr>
        <w:t>（一）按照农药标签标明的内容使用农药，不得随意扩大使用范围、加大施药剂量和改变使用方法；</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仿宋_GB2312" w:hAnsi="Times New Roman"/>
          <w:sz w:val="32"/>
          <w:szCs w:val="32"/>
        </w:rPr>
        <w:t>（二）使用剧毒、高毒农药后，应当在施药区域设置明显警示标志；</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仿宋_GB2312" w:hAnsi="Times New Roman"/>
          <w:sz w:val="32"/>
          <w:szCs w:val="32"/>
        </w:rPr>
        <w:t>（三）农药使用后的箱、瓶、袋等包装物品不得随意弃置，应当采取安全措施予以妥善处理；</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仿宋_GB2312" w:hAnsi="Times New Roman"/>
          <w:sz w:val="32"/>
          <w:szCs w:val="32"/>
        </w:rPr>
        <w:t>（四）不得在河流、湖泊、水库、渠道、鱼塘和饮用水源保护区、自然保护区等区域内，倾倒农药或者清洗装药配药施药器械；</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仿宋_GB2312" w:hAnsi="Times New Roman"/>
          <w:sz w:val="32"/>
          <w:szCs w:val="32"/>
        </w:rPr>
        <w:t>（五）不得使用农药毒鱼、虾、鸟、兽等；</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仿宋_GB2312" w:hAnsi="Times New Roman"/>
          <w:sz w:val="32"/>
          <w:szCs w:val="32"/>
        </w:rPr>
        <w:t>（六）不得使用国家和省禁止使用的农药；</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仿宋_GB2312" w:hAnsi="Times New Roman"/>
          <w:sz w:val="32"/>
          <w:szCs w:val="32"/>
        </w:rPr>
        <w:t>（七）施用农药后的农作物，在农药标签载明的安全间隔期内不得采收、出售。</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黑体" w:hAnsi="Times New Roman" w:hint="eastAsia"/>
          <w:sz w:val="32"/>
          <w:szCs w:val="32"/>
        </w:rPr>
        <w:t>第十五条</w:t>
      </w:r>
      <w:r w:rsidRPr="00B82D05">
        <w:rPr>
          <w:rFonts w:ascii="Times New Roman" w:eastAsia="仿宋_GB2312" w:hAnsi="Times New Roman"/>
          <w:sz w:val="32"/>
          <w:szCs w:val="32"/>
        </w:rPr>
        <w:t xml:space="preserve">  </w:t>
      </w:r>
      <w:r w:rsidRPr="00B82D05">
        <w:rPr>
          <w:rFonts w:ascii="Times New Roman" w:eastAsia="仿宋_GB2312" w:hAnsi="Times New Roman"/>
          <w:sz w:val="32"/>
          <w:szCs w:val="32"/>
        </w:rPr>
        <w:t>农业行政主管部门对国家和省规定禁止销售和使用的剧毒、高毒、高残留农药应当在大众媒体上公示，使社会周知。</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黑体" w:hAnsi="Times New Roman" w:hint="eastAsia"/>
          <w:sz w:val="32"/>
          <w:szCs w:val="32"/>
        </w:rPr>
        <w:t>第十六条</w:t>
      </w:r>
      <w:r w:rsidRPr="00B82D05">
        <w:rPr>
          <w:rFonts w:ascii="Times New Roman" w:eastAsia="黑体" w:hAnsi="Times New Roman" w:hint="eastAsia"/>
          <w:sz w:val="32"/>
          <w:szCs w:val="32"/>
        </w:rPr>
        <w:t xml:space="preserve"> </w:t>
      </w:r>
      <w:r w:rsidRPr="00B82D05">
        <w:rPr>
          <w:rFonts w:ascii="Times New Roman" w:eastAsia="仿宋_GB2312" w:hAnsi="Times New Roman"/>
          <w:sz w:val="32"/>
          <w:szCs w:val="32"/>
        </w:rPr>
        <w:t xml:space="preserve"> </w:t>
      </w:r>
      <w:r w:rsidRPr="00B82D05">
        <w:rPr>
          <w:rFonts w:ascii="Times New Roman" w:eastAsia="仿宋_GB2312" w:hAnsi="Times New Roman"/>
          <w:sz w:val="32"/>
          <w:szCs w:val="32"/>
        </w:rPr>
        <w:t>使用飞机等航空器空中施药的，应当将喷洒的农</w:t>
      </w:r>
      <w:r w:rsidRPr="00B82D05">
        <w:rPr>
          <w:rFonts w:ascii="Times New Roman" w:eastAsia="仿宋_GB2312" w:hAnsi="Times New Roman"/>
          <w:sz w:val="32"/>
          <w:szCs w:val="32"/>
        </w:rPr>
        <w:lastRenderedPageBreak/>
        <w:t>药品种、剂量、使用范围和防治对象报农业相关部门审核同意。施药单位应当将安全注意事项于喷洒的三日前通知施药区内单位和个人。</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仿宋_GB2312" w:hAnsi="Times New Roman"/>
          <w:sz w:val="32"/>
          <w:szCs w:val="32"/>
        </w:rPr>
        <w:t>施药单位应当选择适宜的天气施药，避免因天气原因造成施药影响范围扩大。</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黑体" w:hAnsi="Times New Roman" w:hint="eastAsia"/>
          <w:sz w:val="32"/>
          <w:szCs w:val="32"/>
        </w:rPr>
        <w:t>第十七条</w:t>
      </w:r>
      <w:r w:rsidRPr="00B82D05">
        <w:rPr>
          <w:rFonts w:ascii="Times New Roman" w:eastAsia="仿宋_GB2312" w:hAnsi="Times New Roman"/>
          <w:sz w:val="32"/>
          <w:szCs w:val="32"/>
        </w:rPr>
        <w:t xml:space="preserve">  </w:t>
      </w:r>
      <w:r w:rsidRPr="00B82D05">
        <w:rPr>
          <w:rFonts w:ascii="Times New Roman" w:eastAsia="仿宋_GB2312" w:hAnsi="Times New Roman"/>
          <w:sz w:val="32"/>
          <w:szCs w:val="32"/>
        </w:rPr>
        <w:t>农业行政主管部门以及其他有关部门应当按照国家规定及时公布农副产品中农药残留的限量标准。</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黑体" w:hAnsi="Times New Roman" w:hint="eastAsia"/>
          <w:sz w:val="32"/>
          <w:szCs w:val="32"/>
        </w:rPr>
        <w:t>第十八条</w:t>
      </w:r>
      <w:r w:rsidRPr="00B82D05">
        <w:rPr>
          <w:rFonts w:ascii="Times New Roman" w:eastAsia="仿宋_GB2312" w:hAnsi="Times New Roman"/>
          <w:sz w:val="32"/>
          <w:szCs w:val="32"/>
        </w:rPr>
        <w:t xml:space="preserve">  </w:t>
      </w:r>
      <w:r w:rsidRPr="00B82D05">
        <w:rPr>
          <w:rFonts w:ascii="Times New Roman" w:eastAsia="仿宋_GB2312" w:hAnsi="Times New Roman"/>
          <w:sz w:val="32"/>
          <w:szCs w:val="32"/>
        </w:rPr>
        <w:t>农业行政主管部门应当做好农产品种植过程中农药残留量的检测工作，其他有关部门或者单位依法做好农副产品加工和销售中农药残留量的检测工作。</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仿宋_GB2312" w:hAnsi="Times New Roman"/>
          <w:sz w:val="32"/>
          <w:szCs w:val="32"/>
        </w:rPr>
        <w:t>经检测农药残留量超过国家规定安全标准的农副产品不得交易。农副产品的生产、经营者对检测结果有异议的，可以向具有法定检测资质的农药检测机构申请复检。</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黑体" w:hAnsi="Times New Roman" w:hint="eastAsia"/>
          <w:sz w:val="32"/>
          <w:szCs w:val="32"/>
        </w:rPr>
        <w:t>第十九条</w:t>
      </w:r>
      <w:r w:rsidRPr="00B82D05">
        <w:rPr>
          <w:rFonts w:ascii="Times New Roman" w:eastAsia="仿宋_GB2312" w:hAnsi="Times New Roman"/>
          <w:sz w:val="32"/>
          <w:szCs w:val="32"/>
        </w:rPr>
        <w:t xml:space="preserve">  </w:t>
      </w:r>
      <w:r w:rsidRPr="00B82D05">
        <w:rPr>
          <w:rFonts w:ascii="Times New Roman" w:eastAsia="仿宋_GB2312" w:hAnsi="Times New Roman"/>
          <w:sz w:val="32"/>
          <w:szCs w:val="32"/>
        </w:rPr>
        <w:t>农业行政主管部门及其执法监督管理机构工作人员有下列行为之一的，依法给予行政处分：</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仿宋_GB2312" w:hAnsi="Times New Roman"/>
          <w:sz w:val="32"/>
          <w:szCs w:val="32"/>
        </w:rPr>
        <w:t>（一）不履行监管农药经营使用法定职责的；</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仿宋_GB2312" w:hAnsi="Times New Roman"/>
          <w:sz w:val="32"/>
          <w:szCs w:val="32"/>
        </w:rPr>
        <w:t>（二）徇私舞弊，不公正处理农药经营使用违法案件的；</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仿宋_GB2312" w:hAnsi="Times New Roman"/>
          <w:sz w:val="32"/>
          <w:szCs w:val="32"/>
        </w:rPr>
        <w:t>（三）当场收取罚款不开具罚款收据或者不如实填写罚款数额的；</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仿宋_GB2312" w:hAnsi="Times New Roman"/>
          <w:sz w:val="32"/>
          <w:szCs w:val="32"/>
        </w:rPr>
        <w:t>（四）从事或者参与农药经营活动的；</w:t>
      </w:r>
    </w:p>
    <w:p w:rsidR="00587A84" w:rsidRPr="00B82D05" w:rsidRDefault="00587A84" w:rsidP="00587A84">
      <w:pPr>
        <w:spacing w:line="590" w:lineRule="exact"/>
        <w:ind w:firstLineChars="200" w:firstLine="640"/>
        <w:rPr>
          <w:rFonts w:ascii="Times New Roman" w:eastAsia="仿宋_GB2312" w:hAnsi="Times New Roman"/>
          <w:spacing w:val="-4"/>
          <w:sz w:val="32"/>
          <w:szCs w:val="32"/>
        </w:rPr>
      </w:pPr>
      <w:r w:rsidRPr="00B82D05">
        <w:rPr>
          <w:rFonts w:ascii="Times New Roman" w:eastAsia="仿宋_GB2312" w:hAnsi="Times New Roman"/>
          <w:sz w:val="32"/>
          <w:szCs w:val="32"/>
        </w:rPr>
        <w:t>（五）</w:t>
      </w:r>
      <w:r w:rsidRPr="00B82D05">
        <w:rPr>
          <w:rFonts w:ascii="Times New Roman" w:eastAsia="仿宋_GB2312" w:hAnsi="Times New Roman"/>
          <w:spacing w:val="-4"/>
          <w:sz w:val="32"/>
          <w:szCs w:val="32"/>
        </w:rPr>
        <w:t>利用职务上的便利收受他人财物或者谋取其他利益的。</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仿宋_GB2312" w:hAnsi="Times New Roman"/>
          <w:sz w:val="32"/>
          <w:szCs w:val="32"/>
        </w:rPr>
        <w:t>农业行政主管部门及其执法监督管理机构有前款所列行为</w:t>
      </w:r>
      <w:r w:rsidRPr="00B82D05">
        <w:rPr>
          <w:rFonts w:ascii="Times New Roman" w:eastAsia="仿宋_GB2312" w:hAnsi="Times New Roman"/>
          <w:sz w:val="32"/>
          <w:szCs w:val="32"/>
        </w:rPr>
        <w:lastRenderedPageBreak/>
        <w:t>之一的，对直接负责的主管人员和其他直接责任人员给予相应的行政处分。</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黑体" w:hAnsi="Times New Roman" w:hint="eastAsia"/>
          <w:sz w:val="32"/>
          <w:szCs w:val="32"/>
        </w:rPr>
        <w:t>第二十条</w:t>
      </w:r>
      <w:r w:rsidRPr="00B82D05">
        <w:rPr>
          <w:rFonts w:ascii="Times New Roman" w:eastAsia="仿宋_GB2312" w:hAnsi="Times New Roman"/>
          <w:sz w:val="32"/>
          <w:szCs w:val="32"/>
        </w:rPr>
        <w:t xml:space="preserve">  </w:t>
      </w:r>
      <w:r w:rsidRPr="00B82D05">
        <w:rPr>
          <w:rFonts w:ascii="Times New Roman" w:eastAsia="仿宋_GB2312" w:hAnsi="Times New Roman"/>
          <w:sz w:val="32"/>
          <w:szCs w:val="32"/>
        </w:rPr>
        <w:t>农药经营者违反本条例第十一条第（一）、（二）、（三）项规定的，由县级以上农业行政主管部门责令停止违法行为，给予警告，没收经营的农药和违法所得，可以并处违法所得三倍以下罚款；没有违法所得的，可以处三万元以下罚款。</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黑体" w:hAnsi="Times New Roman" w:hint="eastAsia"/>
          <w:sz w:val="32"/>
          <w:szCs w:val="32"/>
        </w:rPr>
        <w:t>第二十一条</w:t>
      </w:r>
      <w:r w:rsidRPr="00B82D05">
        <w:rPr>
          <w:rFonts w:ascii="Times New Roman" w:eastAsia="仿宋_GB2312" w:hAnsi="Times New Roman"/>
          <w:sz w:val="32"/>
          <w:szCs w:val="32"/>
        </w:rPr>
        <w:t xml:space="preserve">  </w:t>
      </w:r>
      <w:r w:rsidRPr="00B82D05">
        <w:rPr>
          <w:rFonts w:ascii="Times New Roman" w:eastAsia="仿宋_GB2312" w:hAnsi="Times New Roman"/>
          <w:sz w:val="32"/>
          <w:szCs w:val="32"/>
        </w:rPr>
        <w:t>农药使用者违反本条例第十三条、第十四条第（一）、（二）、（六）、（七）项、第十六条第一款规定的，由农业相关部门根据危害后果，给予警告，可以并处一万元以下罚款。</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黑体" w:hAnsi="Times New Roman" w:hint="eastAsia"/>
          <w:sz w:val="32"/>
          <w:szCs w:val="32"/>
        </w:rPr>
        <w:t>第二十二条</w:t>
      </w:r>
      <w:r w:rsidRPr="00B82D05">
        <w:rPr>
          <w:rFonts w:ascii="Times New Roman" w:eastAsia="仿宋_GB2312" w:hAnsi="Times New Roman"/>
          <w:sz w:val="32"/>
          <w:szCs w:val="32"/>
        </w:rPr>
        <w:t xml:space="preserve">  </w:t>
      </w:r>
      <w:r w:rsidRPr="00B82D05">
        <w:rPr>
          <w:rFonts w:ascii="Times New Roman" w:eastAsia="仿宋_GB2312" w:hAnsi="Times New Roman"/>
          <w:sz w:val="32"/>
          <w:szCs w:val="32"/>
        </w:rPr>
        <w:t>经农业行政主管部门检测农药残留量超过规定标准的农产品，由农业行政主管部门予以没收，并销毁。经其他有关部门检测的农副产品农药残留量超过规定标准的处理，按照国家有关规定执行。</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黑体" w:hAnsi="Times New Roman" w:hint="eastAsia"/>
          <w:sz w:val="32"/>
          <w:szCs w:val="32"/>
        </w:rPr>
        <w:t>第二十三条</w:t>
      </w:r>
      <w:r w:rsidRPr="00B82D05">
        <w:rPr>
          <w:rFonts w:ascii="Times New Roman" w:eastAsia="仿宋_GB2312" w:hAnsi="Times New Roman"/>
          <w:sz w:val="32"/>
          <w:szCs w:val="32"/>
        </w:rPr>
        <w:t xml:space="preserve">  </w:t>
      </w:r>
      <w:r w:rsidRPr="00B82D05">
        <w:rPr>
          <w:rFonts w:ascii="Times New Roman" w:eastAsia="仿宋_GB2312" w:hAnsi="Times New Roman"/>
          <w:sz w:val="32"/>
          <w:szCs w:val="32"/>
        </w:rPr>
        <w:t>违反本条例规定的其他行为，由有关行政管理部门依据相关法律、法规进行处罚。</w:t>
      </w:r>
    </w:p>
    <w:p w:rsidR="00587A84" w:rsidRPr="00B82D05" w:rsidRDefault="00587A84" w:rsidP="00587A84">
      <w:pPr>
        <w:spacing w:line="590" w:lineRule="exact"/>
        <w:ind w:firstLineChars="200" w:firstLine="640"/>
        <w:rPr>
          <w:rFonts w:ascii="Times New Roman" w:eastAsia="仿宋_GB2312" w:hAnsi="Times New Roman"/>
          <w:sz w:val="32"/>
          <w:szCs w:val="32"/>
        </w:rPr>
      </w:pPr>
      <w:r w:rsidRPr="00B82D05">
        <w:rPr>
          <w:rFonts w:ascii="Times New Roman" w:eastAsia="黑体" w:hAnsi="Times New Roman" w:hint="eastAsia"/>
          <w:sz w:val="32"/>
          <w:szCs w:val="32"/>
        </w:rPr>
        <w:t>第二十四条</w:t>
      </w:r>
      <w:r w:rsidRPr="00B82D05">
        <w:rPr>
          <w:rFonts w:ascii="Times New Roman" w:eastAsia="仿宋_GB2312" w:hAnsi="Times New Roman"/>
          <w:sz w:val="32"/>
          <w:szCs w:val="32"/>
        </w:rPr>
        <w:t xml:space="preserve">  </w:t>
      </w:r>
      <w:r w:rsidRPr="00B82D05">
        <w:rPr>
          <w:rFonts w:ascii="Times New Roman" w:eastAsia="仿宋_GB2312" w:hAnsi="Times New Roman"/>
          <w:sz w:val="32"/>
          <w:szCs w:val="32"/>
        </w:rPr>
        <w:t>对依法没收的假农药、劣质农药、过期报废农药、禁用农药以及其他含有农药的废弃物，农业行政主管部门需要集中销毁处理的，应当在环保部门的监督下，按照环保法律、法规规定予以销毁。</w:t>
      </w:r>
    </w:p>
    <w:p w:rsidR="00E43ABE" w:rsidRPr="00B82D05" w:rsidRDefault="00587A84" w:rsidP="00B82D05">
      <w:pPr>
        <w:spacing w:line="590" w:lineRule="exact"/>
        <w:ind w:firstLineChars="200" w:firstLine="640"/>
        <w:rPr>
          <w:rFonts w:ascii="Times New Roman" w:eastAsia="仿宋_GB2312" w:hAnsi="Times New Roman" w:hint="eastAsia"/>
          <w:sz w:val="32"/>
          <w:szCs w:val="32"/>
        </w:rPr>
      </w:pPr>
      <w:r w:rsidRPr="00B82D05">
        <w:rPr>
          <w:rFonts w:ascii="Times New Roman" w:eastAsia="黑体" w:hAnsi="Times New Roman" w:hint="eastAsia"/>
          <w:sz w:val="32"/>
          <w:szCs w:val="32"/>
        </w:rPr>
        <w:t>第二十五条</w:t>
      </w:r>
      <w:r w:rsidRPr="00B82D05">
        <w:rPr>
          <w:rFonts w:ascii="Times New Roman" w:eastAsia="仿宋_GB2312" w:hAnsi="Times New Roman" w:hint="eastAsia"/>
          <w:sz w:val="32"/>
          <w:szCs w:val="32"/>
        </w:rPr>
        <w:t xml:space="preserve">  </w:t>
      </w:r>
      <w:r w:rsidRPr="00B82D05">
        <w:rPr>
          <w:rFonts w:ascii="Times New Roman" w:eastAsia="仿宋_GB2312" w:hAnsi="Times New Roman" w:hint="eastAsia"/>
          <w:sz w:val="32"/>
          <w:szCs w:val="32"/>
        </w:rPr>
        <w:t>本条例自</w:t>
      </w:r>
      <w:smartTag w:uri="urn:schemas-microsoft-com:office:smarttags" w:element="chsdate">
        <w:smartTagPr>
          <w:attr w:name="Year" w:val="2004"/>
          <w:attr w:name="Month" w:val="3"/>
          <w:attr w:name="Day" w:val="1"/>
          <w:attr w:name="IsLunarDate" w:val="False"/>
          <w:attr w:name="IsROCDate" w:val="False"/>
        </w:smartTagPr>
        <w:r w:rsidRPr="00B82D05">
          <w:rPr>
            <w:rFonts w:ascii="Times New Roman" w:eastAsia="仿宋_GB2312" w:hAnsi="Times New Roman" w:hint="eastAsia"/>
            <w:sz w:val="32"/>
            <w:szCs w:val="32"/>
          </w:rPr>
          <w:t>2004</w:t>
        </w:r>
        <w:r w:rsidRPr="00B82D05">
          <w:rPr>
            <w:rFonts w:ascii="Times New Roman" w:eastAsia="仿宋_GB2312" w:hAnsi="Times New Roman" w:hint="eastAsia"/>
            <w:sz w:val="32"/>
            <w:szCs w:val="32"/>
          </w:rPr>
          <w:t>年</w:t>
        </w:r>
        <w:r w:rsidRPr="00B82D05">
          <w:rPr>
            <w:rFonts w:ascii="Times New Roman" w:eastAsia="仿宋_GB2312" w:hAnsi="Times New Roman" w:hint="eastAsia"/>
            <w:sz w:val="32"/>
            <w:szCs w:val="32"/>
          </w:rPr>
          <w:t>3</w:t>
        </w:r>
        <w:r w:rsidRPr="00B82D05">
          <w:rPr>
            <w:rFonts w:ascii="Times New Roman" w:eastAsia="仿宋_GB2312" w:hAnsi="Times New Roman" w:hint="eastAsia"/>
            <w:sz w:val="32"/>
            <w:szCs w:val="32"/>
          </w:rPr>
          <w:t>月</w:t>
        </w:r>
        <w:r w:rsidRPr="00B82D05">
          <w:rPr>
            <w:rFonts w:ascii="Times New Roman" w:eastAsia="仿宋_GB2312" w:hAnsi="Times New Roman" w:hint="eastAsia"/>
            <w:sz w:val="32"/>
            <w:szCs w:val="32"/>
          </w:rPr>
          <w:t>1</w:t>
        </w:r>
        <w:r w:rsidRPr="00B82D05">
          <w:rPr>
            <w:rFonts w:ascii="Times New Roman" w:eastAsia="仿宋_GB2312" w:hAnsi="Times New Roman" w:hint="eastAsia"/>
            <w:sz w:val="32"/>
            <w:szCs w:val="32"/>
          </w:rPr>
          <w:t>日起</w:t>
        </w:r>
      </w:smartTag>
      <w:r w:rsidRPr="00B82D05">
        <w:rPr>
          <w:rFonts w:ascii="Times New Roman" w:eastAsia="仿宋_GB2312" w:hAnsi="Times New Roman" w:hint="eastAsia"/>
          <w:sz w:val="32"/>
          <w:szCs w:val="32"/>
        </w:rPr>
        <w:t>施行。</w:t>
      </w:r>
    </w:p>
    <w:sectPr w:rsidR="00E43ABE" w:rsidRPr="00B82D05">
      <w:headerReference w:type="even" r:id="rId7"/>
      <w:headerReference w:type="default" r:id="rId8"/>
      <w:footerReference w:type="even" r:id="rId9"/>
      <w:footerReference w:type="default" r:id="rId10"/>
      <w:headerReference w:type="first" r:id="rId11"/>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26A8" w:rsidRDefault="00DF26A8">
      <w:pPr>
        <w:ind w:firstLine="640"/>
      </w:pPr>
      <w:r>
        <w:separator/>
      </w:r>
    </w:p>
  </w:endnote>
  <w:endnote w:type="continuationSeparator" w:id="1">
    <w:p w:rsidR="00DF26A8" w:rsidRDefault="00DF26A8">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041DAB">
        <w:rPr>
          <w:noProof/>
        </w:rPr>
        <w:t>4</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041DAB">
        <w:rPr>
          <w:noProof/>
        </w:rPr>
        <w:t>1</w:t>
      </w:r>
    </w:fldSimple>
    <w:r>
      <w:t xml:space="preserve"> </w:t>
    </w:r>
    <w:r>
      <w:rPr>
        <w:rFonts w:hint="eastAsia"/>
      </w:rPr>
      <w:t>─</w:t>
    </w: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26A8" w:rsidRDefault="00DF26A8">
      <w:pPr>
        <w:ind w:firstLine="640"/>
      </w:pPr>
      <w:r>
        <w:separator/>
      </w:r>
    </w:p>
  </w:footnote>
  <w:footnote w:type="continuationSeparator" w:id="1">
    <w:p w:rsidR="00DF26A8" w:rsidRDefault="00DF26A8">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4405D"/>
    <w:rsid w:val="00041DAB"/>
    <w:rsid w:val="0020679B"/>
    <w:rsid w:val="00587A84"/>
    <w:rsid w:val="00A31A83"/>
    <w:rsid w:val="00A4405D"/>
    <w:rsid w:val="00B82D05"/>
    <w:rsid w:val="00D62435"/>
    <w:rsid w:val="00DF26A8"/>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87A84"/>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jc w:val="left"/>
    </w:pPr>
    <w:rPr>
      <w:sz w:val="30"/>
    </w:rPr>
  </w:style>
  <w:style w:type="paragraph" w:customStyle="1" w:styleId="20">
    <w:name w:val="标题2"/>
    <w:basedOn w:val="a"/>
    <w:next w:val="a"/>
    <w:pPr>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autoSpaceDE w:val="0"/>
      <w:autoSpaceDN w:val="0"/>
      <w:spacing w:line="567" w:lineRule="atLeast"/>
      <w:ind w:left="1120" w:hangingChars="400" w:hanging="1120"/>
    </w:pPr>
    <w:rPr>
      <w:sz w:val="28"/>
    </w:rPr>
  </w:style>
  <w:style w:type="paragraph" w:styleId="a6">
    <w:name w:val="Date"/>
    <w:basedOn w:val="a"/>
    <w:next w:val="a"/>
    <w:pPr>
      <w:ind w:leftChars="2500" w:left="100"/>
    </w:pPr>
    <w:rPr>
      <w:rFonts w:ascii="Times New Roman"/>
      <w:b/>
      <w:bCs/>
      <w:sz w:val="28"/>
      <w:szCs w:val="24"/>
    </w:rPr>
  </w:style>
  <w:style w:type="paragraph" w:styleId="31">
    <w:name w:val="Body Text Indent 3"/>
    <w:basedOn w:val="a"/>
    <w:pPr>
      <w:spacing w:line="440" w:lineRule="exact"/>
      <w:ind w:left="540" w:firstLineChars="192" w:firstLine="538"/>
    </w:pPr>
    <w:rPr>
      <w:rFonts w:ascii="Times New Roman"/>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5</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2011-01-06T02:04:00Z</dcterms:created>
  <dcterms:modified xsi:type="dcterms:W3CDTF">2011-01-06T02:04:00Z</dcterms:modified>
</cp:coreProperties>
</file>