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德州市养老服务条例"/>
      <w:bookmarkEnd w:id="0"/>
      <w:r>
        <w:rPr>
          <w:rFonts w:hint="eastAsia" w:ascii="方正小标宋简体" w:hAnsi="方正小标宋简体" w:eastAsia="方正小标宋简体" w:cs="方正小标宋简体"/>
          <w:color w:val="333333"/>
          <w:sz w:val="44"/>
          <w:szCs w:val="44"/>
          <w:shd w:val="clear" w:color="auto" w:fill="FFFFFF"/>
        </w:rPr>
        <w:t>德州市养老服务条例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（2019年9月8日德州市第十八届人民代表大会常务委员会第二十七次会议通过　2019年9月27日山东省第十三届人民代表大会常务委员会第十四次会议批准　根据2024年8月26日德州市第十九届人民代表大会常务委员会第二十五次会议通过并经2024年9月26日山东省第十四届人民代表大会常务委员会第十一次会议批准的《德州市人民代表大会常务委员会关于修改〈德州市养老服务条例〉的决定》修正）</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养老服务设施规划和建设</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养老服务体系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社区居家养老服务</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机构养老服务</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农村养老服务</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87" w:name="_GoBack"/>
      <w:bookmarkEnd w:id="87"/>
      <w:r>
        <w:rPr>
          <w:rFonts w:ascii="Times New Roman" w:hAnsi="Times New Roman" w:eastAsia="楷体_GB2312" w:cs="楷体_GB2312"/>
          <w:sz w:val="32"/>
        </w:rPr>
        <w:t>第四节　医养结合服务</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人才培养和激励</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扶持政策和措施</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监督和管理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为了积极应对人口老龄化，完善养老服务体系，规范养老服务工作，促进养老服务健康发展，根据《中华人民共和国老年人权益保障法》、《山东省养老服务条例》等法律、法规，结合本市实际，制定本条例。</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本条例适用于本市行政区域内的养老服务及其监督管理工作。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本条例所称养老服务，是指在家庭成员承担赡养、扶养义务的基础上，由政府和社会为老年人提供的生活照料、家政服务、医疗保健、康复护理、精神慰藉、文体娱乐、心理咨询、紧急救援、安宁疗护等服务。</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养老服务应当与本地区经济社会发展水平相适应，按照以人为本、共建共享的要求，坚持政府主导、社会参与、市场运作、统筹发展、保障基本、普惠多样的原则，以高龄、失能老年人照护为重点，推进构建以居家为基础、社区为依托、机构为补充、医养相结合的多层次养老服务体系。</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市、县（市、区）人民政府应当将养老服务工作纳入本地区国民经济和社会发展规划，制定养老服务专项规划和年度计划。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市、县（市、区）人民政府应当将养老服务经费列入同级财政预算，建立与养老服务需求相适应的经费保障机制，健全完善与养老服务相关的社会保障制度。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市、县（市、区）人民政府应当建立养老服务工作协调机制，定期分析养老服务发展状况，协调解决养老服务发展中的困难和问题。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乡镇人民政府、街道办事处负责本辖区内的养老服务工作。</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民政部门负责统筹推进、督促指导、监督管理本行政区域内的养老服务工作。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卫生健康部门负责推进老年健康服务体系建设和医养结合工作。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教育、工业和信息化、公安、财政、人力资源社会保障、自然资源、生态环境、住房城乡建设、交通运输、农业农村、商务、文化和旅游、应急、审计、审批服务、市场监管、体育、医保、大数据、税务等部门应当按照各自职责共同做好养老服务工作。</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鼓励公民、法人和其他组织以各种形式参与或者支持养老服务工作。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工会、共产主义青年团、妇女联合会、残疾人联合会、红十字会等单位应当发挥各自优势，协同做好养老服务工作。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居民委员会、村民委员会应当发挥基层群众性自治组织的功能和优势，协助做好养老服务保障工作。</w:t>
      </w:r>
    </w:p>
    <w:p>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市、县（市、区）人民政府应当建立健全老年人能力评估和老年人养老服务需求评估制度，科学确定老年人养老服务需求类型和护理等级，作为老年人享受相关补贴、接受不同类型养老服务的依据。</w:t>
      </w:r>
    </w:p>
    <w:p>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市、县（市、区）人民政府应当建立养老服务信息共享机制，依托全市统一的政务信息资源共享交换平台，推进养老服务信息与户籍、医疗、社会保险、社会救助等信息资源对接，实现跨部门、跨区域的协同合作和信息共享。</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民政部门应当指导乡镇人民政府、街道办事处采集录入本区域内老年人基础信息、养老服务设施和养老服务组织信息等数据，并将相关资源信息向社会公开，接受社会查询，实现养老服务供需对接，为老年人提供高效便捷的社会化养老服务。</w:t>
      </w:r>
    </w:p>
    <w:p>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市、县（市、区）人民政府及其有关部门、新闻媒体、社会各界应当践行社会主义核心价值观，加强养老宣传教育，弘扬传统美德，营造敬老、孝老、助老社会环境。对在养老服务中作出突出贡献的单位和个人，按照国家和省有关规定给予表彰和奖励。</w:t>
      </w:r>
    </w:p>
    <w:p>
      <w:pPr>
        <w:rPr>
          <w:rFonts w:ascii="Times New Roman" w:hAnsi="Times New Roman" w:eastAsia="宋体" w:cs="宋体"/>
          <w:szCs w:val="32"/>
        </w:rPr>
      </w:pPr>
    </w:p>
    <w:p>
      <w:pPr>
        <w:jc w:val="center"/>
        <w:rPr>
          <w:rFonts w:ascii="Times New Roman" w:hAnsi="Times New Roman" w:eastAsia="黑体" w:cs="黑体"/>
          <w:szCs w:val="32"/>
        </w:rPr>
      </w:pPr>
      <w:bookmarkStart w:id="13" w:name="第二章 养老服务设施规划和建设"/>
      <w:bookmarkEnd w:id="13"/>
      <w:r>
        <w:rPr>
          <w:rFonts w:hint="eastAsia" w:ascii="Times New Roman" w:hAnsi="Times New Roman" w:eastAsia="黑体" w:cs="黑体"/>
          <w:szCs w:val="32"/>
        </w:rPr>
        <w:t>第二章　养老服务设施规划和建设</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市、县（市、区）人民政府应当将养老服务设施建设用地纳入国土空间规划，按照人均用地不少于0.2平方米的标准，分区分级规划设置养老服务设施。在制定年度土地利用计划时，优先保障养老服务设施用地。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民政部门应当会同发展改革、自然资源、住房城乡建设、卫生健康等部门，根据当地经济社会发展水平、人口老龄化程度和发展趋势、养老服务需求等情况，制定养老服务设施规划，报同级人民政府批准后实施。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乡镇人民政府组织编制乡镇国土空间规划时，应当根据本地区实际情况，落实农村养老服务设施用地布局、建设要求等具体安排，并指导农村社区、中心村根据本地区养老服务需求规划建设养老服务设施。</w:t>
      </w:r>
    </w:p>
    <w:p>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新建城镇居住区应当根据规划要求和建设标准，按照每百户不低于二十平方米的标准配套建设养老服务设施，与住宅建设项目同步规划、同步建设、同步验收、同步交付使用。配套建设养老服务设施的面积标准应当随着本地经济社会发展水平和养老服务需求等情况逐步提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分期开发的单地块住宅项目，应当在首期项目主体工程中配套建设养老服务设施。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新建的城镇居住区配套社区养老服务设施，房地产开发项目建设条件意见书确定养老服务设施权属归政府的，建设单位应当按照约定的移交方式，自竣工验收合格之日起三个月内将设施以及有关建设资料全部无偿移交所在地县（市、区）民政部门，用于开展非营利性养老服务。</w:t>
      </w:r>
    </w:p>
    <w:p>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已建成城镇居住区无养老服务设施或者养老服务设施未达到规划要求和建设标准的，市、县（市、区）人民政府应当制定实施计划，加强统筹协调，按照每百户不低于十五平方米的标准，通过新建、改建、购置、置换、租赁等方式进行配置。配置达标后的养老服务设施，由所在地县（市、区）民政部门负责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多个占地面积较小的居住区可以就近统筹配置社区养老服务设施。</w:t>
      </w:r>
    </w:p>
    <w:p>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配套建设的社区养老服务设施应当与基本公共服务设施统筹规划，相对集中设置，不得安排在建筑物的地下层、半地下层和夹层，安排在建筑物的二层以上的，应当设置无障碍电梯。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养老服务设施应当满足消防安全、紧急救援、应急救护、卫生防疫、通风采光等要求，按照国家标准配备无障碍设施，并在建筑物明显位置设置标识。</w:t>
      </w:r>
    </w:p>
    <w:p>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市、县（市、区）人民政府有关部门以及乡镇人民政府、街道办事处应当整合利用闲置场地、场所和设施，建设养老服务设施；调整属于国有资产的公共服务设施或者城乡社区公共资源用途时，应当优先用于养老服务；引导和支持社会力量将具备条件的闲置学校、培训中心、宾馆、招待所、厂房、商业设施等整合改造为养老服务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民政、自然资源、住房城乡建设、审批服务等部门应当简化办事程序，明确办理条件，及时办理相关手续。</w:t>
      </w:r>
    </w:p>
    <w:p>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任何组织和个人不得擅自改变养老服务设施建设用地用途或者养老服务设施使用性质，不得侵占、损害或者擅自拆除养老服务设施。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国家建设需要经批准改变养老服务设施建设用地用途、养老服务设施使用性质或者拆除养老服务设施的，应当按照不低于原有规模和标准就近建设或者置换。建设期间，应当安排符合条件的过渡用房，满足老年人的养老服务需求。</w:t>
      </w:r>
    </w:p>
    <w:p>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新建、改建、扩建住宅区应当符合国家无障碍设施工程建设标准。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市、县（市、区）人民政府应当推进老旧住宅区的坡道、公厕、楼梯扶手等公共服务设施的无障碍改造。鼓励、支持已经建成的多层住宅加装电梯。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对纳入老年人家庭无障碍改造计划的，住房城乡建设、民政部门应当给予指导。经济困难的高龄、失能、残疾老年人家庭进行生活设施无障碍改造的，市、县（市、区）人民政府应当给予适当资金补助。</w:t>
      </w:r>
    </w:p>
    <w:p>
      <w:pPr>
        <w:rPr>
          <w:rFonts w:ascii="Times New Roman" w:hAnsi="Times New Roman" w:eastAsia="宋体" w:cs="宋体"/>
          <w:szCs w:val="32"/>
        </w:rPr>
      </w:pPr>
    </w:p>
    <w:p>
      <w:pPr>
        <w:jc w:val="center"/>
        <w:rPr>
          <w:rFonts w:ascii="Times New Roman" w:hAnsi="Times New Roman" w:eastAsia="黑体" w:cs="黑体"/>
          <w:szCs w:val="32"/>
        </w:rPr>
      </w:pPr>
      <w:bookmarkStart w:id="21" w:name="第三章 养老服务体系"/>
      <w:bookmarkEnd w:id="21"/>
      <w:r>
        <w:rPr>
          <w:rFonts w:hint="eastAsia" w:ascii="Times New Roman" w:hAnsi="Times New Roman" w:eastAsia="黑体" w:cs="黑体"/>
          <w:szCs w:val="32"/>
        </w:rPr>
        <w:t>第三章　养老服务体系</w:t>
      </w:r>
    </w:p>
    <w:p>
      <w:pPr>
        <w:rPr>
          <w:rFonts w:ascii="Times New Roman" w:hAnsi="Times New Roman" w:eastAsia="宋体" w:cs="宋体"/>
          <w:szCs w:val="32"/>
        </w:rPr>
      </w:pPr>
    </w:p>
    <w:p>
      <w:pPr>
        <w:jc w:val="center"/>
        <w:rPr>
          <w:rFonts w:ascii="Times New Roman" w:hAnsi="Times New Roman" w:eastAsia="宋体" w:cs="宋体"/>
          <w:szCs w:val="32"/>
        </w:rPr>
      </w:pPr>
      <w:bookmarkStart w:id="22" w:name="第一节 社区居家养老服务"/>
      <w:bookmarkEnd w:id="22"/>
      <w:r>
        <w:rPr>
          <w:rFonts w:hint="eastAsia" w:ascii="Times New Roman" w:hAnsi="Times New Roman" w:eastAsia="宋体" w:cs="宋体"/>
          <w:sz w:val="32"/>
          <w:szCs w:val="32"/>
          <w:lang w:val="en-US"/>
        </w:rPr>
        <w:t>第一节　社区居家养老服务</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社区居家养老服务应当以家庭为基础，以社区为依托，以信息化为手段，由政府提供基本公共服务，企业、社会组织提供专业化服务，基层群众性自治组织和志愿者提供互助和公益服务，以满足老年人社区居家养老服务需求。</w:t>
      </w:r>
    </w:p>
    <w:p>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老年人子女以及其他依法负有赡养、扶养义务的人，应当履行对老年人经济上供养、生活上照料和精神上慰藉的义务。居家生活的老年人需要社会提供有偿服务的，由接受服务的老年人或者其赡养人、扶养人承担相应的费用。倡导家庭成员与老年人共同生活或者就近居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老年人的子女以及其他依法负有赡养、扶养义务的人，拒绝履行赡养、扶养义务的，居民委员会、村民委员会、老年人组织或者赡养人、扶养人所在单位应当给予批评教育，并督促其履行。需要通过诉讼解决的，法律援助机构应当按照规定为老年人提供法律援助。</w:t>
      </w:r>
    </w:p>
    <w:p>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社区居家养老服务应当以居家老年人的服务需求为导向，坚持自愿选择、就近便利、安全优质、价格合理的原则。社区居家养老服务主要包括下列内容：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（一）日间托养、助餐、助浴、助洁、助行、代缴代购等生活照料服务；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（二）家庭护理、健康体检、保健指导、医疗康复、医疗急救、安宁疗护等健康护理服务；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（三）心理咨询、情绪疏导等精神慰藉服务；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（四）安全指导、巡访探视、紧急救援、法律咨询、识骗防诈等安全保障服务；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（五）文化娱乐、体育健身、知识讲座等有益于老年人身心健康的服务；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（六）其他形式的养老服务。</w:t>
      </w:r>
    </w:p>
    <w:p>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市、县（市、区）人民政府应当科学布局社区居家养老服务设施，利用城镇住宅区配套的养老服务用房，重点建设小型化、连锁化的社区嵌入式养老服务设施。民政部门应当通过公开竞争等方式，无偿或者低偿提供给专业化养老服务组织进行社会化运营，为社区居家老年人开展集中照护、短期托养、日间照料、上门服务、文体娱乐等养老服务，打造“一刻钟”社区居家养老服务圈。</w:t>
      </w:r>
    </w:p>
    <w:p>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市、县（市、区）人民政府应当积极培育发展社区居家养老服务组织，支持社区居家养老服务组织跨地区、规模化、专业化发展，支持家政服务、物业服务企业拓展服务领域，开展社区居家养老服务。</w:t>
      </w:r>
    </w:p>
    <w:p>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市、县（市、区）人民政府应当通过补贴、补助、购买服务等方式，优先保障经济困难的高龄独居、失能或者部分失能、计划生育特殊家庭、农村留守等老年人的社区居家养老服务需求。</w:t>
      </w:r>
    </w:p>
    <w:p>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民政部门应当会同财政等相关部门，根据养老服务需求，完善基本养老服务清单，明确服务对象、内容和标准。</w:t>
      </w:r>
    </w:p>
    <w:p>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市、县（市、区）人民政府应当合理规划设置老年助餐服务设施，建立多元化筹资渠道，积极推进老年助餐服务，构建覆盖城乡、布局合理、共建共享的老年助餐服务网络。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支持在各类养老服务机构和设施、社区综合服务设施、社区嵌入式服务设施中增设老年食堂等老年助餐服务设施。鼓励机关、企业事业单位、医疗机构等单位的食堂对老年人开放。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市、县（市、区）人民政府可以通过政府购买服务、合作共建等方式，支持符合条件的餐饮企业运营助老食堂、老年助餐点。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鼓励互联网平台、物流企业等利用现有物流网络为老年人送餐。鼓励慈善组织、爱心企业和爱心人士以慈善募捐等方式参与老年助餐服务。</w:t>
      </w:r>
    </w:p>
    <w:p>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市、县（市、区）人民政府应当建立独居、空巢、失能、重残、计划生育特殊家庭等老年人探访关爱制度，形成群众性自治组织、基层老年协会、业主委员会、网格员、家庭医生、养老服务人员、社会工作者、志愿者、老党员、低龄健康老年人、亲属邻里等共同参与的探访关爱合力，采取上门探视、电话、视频等方式，定期对特殊困难老年人的生活状况进行探访关爱，防范并及时发现意外风险。</w:t>
      </w:r>
    </w:p>
    <w:p>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市、县（市、区）人民政府应当探索设立家庭养老床位，将家庭养老床位纳入养老服务综合监管；支持社区养老服务机构建设和运营家庭养老床位，对失能老年人家庭提供养老指导服务，帮助其家庭成员提高照护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市、县（市、区）人民政府应当将失能老年人家庭成员照护培训纳入政府购买服务范围。符合条件的失能老年人家庭成员参加照护培训等相关职业技能培训的，按照规定给予职业培训补贴。</w:t>
      </w:r>
    </w:p>
    <w:p>
      <w:pPr>
        <w:rPr>
          <w:rFonts w:ascii="Times New Roman" w:hAnsi="Times New Roman" w:eastAsia="宋体" w:cs="宋体"/>
          <w:szCs w:val="32"/>
        </w:rPr>
      </w:pPr>
    </w:p>
    <w:p>
      <w:pPr>
        <w:jc w:val="center"/>
        <w:rPr>
          <w:rFonts w:ascii="Times New Roman" w:hAnsi="Times New Roman" w:eastAsia="宋体" w:cs="宋体"/>
          <w:szCs w:val="32"/>
        </w:rPr>
      </w:pPr>
      <w:bookmarkStart w:id="33" w:name="第二节 机构养老服务"/>
      <w:bookmarkEnd w:id="33"/>
      <w:r>
        <w:rPr>
          <w:rFonts w:hint="eastAsia" w:ascii="Times New Roman" w:hAnsi="Times New Roman" w:eastAsia="宋体" w:cs="宋体"/>
          <w:sz w:val="32"/>
          <w:szCs w:val="32"/>
          <w:lang w:val="en-US"/>
        </w:rPr>
        <w:t>第二节　机构养老服务</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市、县（市、区）人民政府应当按照养老服务设施规划，有计划、分层级、分类别加强养老机构建设。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鼓励民间资本投资兴办养老机构，并逐步向品牌化、连锁化发展；通过公建民营、委托管理等方式引入社会力量运营政府设立的养老机构。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优先发展护理型养老机构，逐步提高护理型床位比例和康复护理水平。</w:t>
      </w:r>
    </w:p>
    <w:p>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政府设立的养老机构应当在优先保障特困人员集中供养需求的前提下，重点为经济困难失能老年人、计划生育特殊家庭老年人提供无偿或者低偿托养服务。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以公建民营、委托管理等方式运营的养老机构应当按照相关协议在保障特殊困难老年人养老服务需求的基础上，优先满足中低收入老年人的养老服务需求。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社会化养老机构应当为老年人提供个性化、多样化服务，满足老年人不同层次的养老服务需求。</w:t>
      </w:r>
    </w:p>
    <w:p>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养老机构应当建立入院评估制度，根据老年人能力评估标准，对入住老年人的健康状况进行评估，实施分级分类服务。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养老机构为老年人提供服务，应当参照国家养老机构服务合同示范文本，与接受服务的老年人或者其代理人签订服务协议。</w:t>
      </w:r>
    </w:p>
    <w:p>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养老机构应当按照养老机构服务质量基本规范加强内部管理，配齐与服务、运营相适应的管理人员和专业技术人员，并按照不同护理等级配备相应的护理人员。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养老机构应当履行安全主体责任，建立健全消防、安全值守、设施设备、食品药品、卫生防疫等安全管理制度，定期开展安全检查，及时消除安全隐患。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养老机构应当制定突发事件应急预案，定期组织开展应急演练。</w:t>
      </w:r>
    </w:p>
    <w:p>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养老机构应当依照其登记类型、经营性质、设施设备条件、管理水平、服务质量、护理等级等因素合理确定服务项目和收费标准，并遵守国家和地方政府价格管理有关规定。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养老机构应当在醒目位置公示各类服务项目收费标准和收费依据，接受社会监督。</w:t>
      </w:r>
    </w:p>
    <w:p>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养老机构的设立应当符合国家和省有关规定，依法办理登记、备案等相关手续。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机构暂停或者终止养老服务的，应当于暂停或者终止服务六十日前向所在地县（市、区）民政部门提交入住老年人的安置方案，书面告知入住老年人，并向社会公告。民政部门应当督促养老机构实施安置方案，为妥善安置老年人提供帮助。</w:t>
      </w:r>
    </w:p>
    <w:p>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推进养老机构综合责任保险工作，鼓励引导养老机构购买综合责任保险。养老机构购买综合责任保险的，市、县（市、区）人民政府应当给予适当补贴。</w:t>
      </w:r>
    </w:p>
    <w:p>
      <w:pPr>
        <w:rPr>
          <w:rFonts w:ascii="Times New Roman" w:hAnsi="Times New Roman" w:eastAsia="宋体" w:cs="宋体"/>
          <w:szCs w:val="32"/>
        </w:rPr>
      </w:pPr>
    </w:p>
    <w:p>
      <w:pPr>
        <w:jc w:val="center"/>
        <w:rPr>
          <w:rFonts w:ascii="Times New Roman" w:hAnsi="Times New Roman" w:eastAsia="宋体" w:cs="宋体"/>
          <w:szCs w:val="32"/>
        </w:rPr>
      </w:pPr>
      <w:bookmarkStart w:id="41" w:name="第三节 农村养老服务"/>
      <w:bookmarkEnd w:id="41"/>
      <w:r>
        <w:rPr>
          <w:rFonts w:hint="eastAsia" w:ascii="Times New Roman" w:hAnsi="Times New Roman" w:eastAsia="宋体" w:cs="宋体"/>
          <w:sz w:val="32"/>
          <w:szCs w:val="32"/>
          <w:lang w:val="en-US"/>
        </w:rPr>
        <w:t>第三节　农村养老服务</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市、县（市、区）人民政府应当将农村养老服务纳入乡村振兴战略，发挥政府主导作用，全面推进以区域性养老机构为中心、以互助养老服务设施为网点的农村养老服务体系建设，不断扩大农村养老服务供给。</w:t>
      </w:r>
    </w:p>
    <w:p>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县（市、区）人民政府及乡镇人民政府、街道办事处应当统筹加强农村养老服务设施建设，通过新建、改建、扩建养老服务设施，引入专业机构运营管理，加快农村特困人员供养机构转型升级，在确保农村特困人员集中供养的前提下，面向社会开展日间照料、托养居住、配餐送餐等多样化养老服务，逐步发展成为开放型、护理型、区域性农村养老服务中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鼓励、支持社会力量参与农村养老服务设施建设。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建立城乡养老服务协作机制。通过合资合作、委托运营、对口支援等方式，推动城市养老服务资源向农村延伸。</w:t>
      </w:r>
    </w:p>
    <w:p>
      <w:pPr>
        <w:ind w:firstLine="632" w:firstLineChars="200"/>
        <w:rPr>
          <w:rFonts w:ascii="Times New Roman" w:hAnsi="Times New Roman" w:cs="仿宋_GB2312"/>
          <w:sz w:val="32"/>
          <w:szCs w:val="32"/>
        </w:rPr>
      </w:pPr>
      <w:bookmarkStart w:id="44" w:name="第三十六条"/>
      <w:bookmarkEnd w:id="44"/>
      <w:r>
        <w:rPr>
          <w:rFonts w:hint="eastAsia" w:ascii="Times New Roman" w:hAnsi="Times New Roman" w:eastAsia="黑体" w:cs="黑体"/>
          <w:sz w:val="32"/>
          <w:szCs w:val="32"/>
        </w:rPr>
        <w:t>第三十六条</w:t>
      </w:r>
      <w:r>
        <w:rPr>
          <w:rFonts w:hint="eastAsia" w:ascii="Times New Roman" w:hAnsi="Times New Roman" w:cs="仿宋_GB2312"/>
          <w:sz w:val="32"/>
          <w:szCs w:val="32"/>
        </w:rPr>
        <w:t>　乡镇人民政府、街道办事处应当指导、支持村民委员会、集体经济组织依托农村社区、中心村、较大自然村，利用闲置的村集体土地、房屋、农家院等场所，因地制宜建设农村幸福院等互助式养老服务设施，通过邻里互助、亲友相助、志愿服务等方式，开展多种形式的互助养老服务。</w:t>
      </w:r>
    </w:p>
    <w:p>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县（市、区）人民政府及乡镇人民政府、街道办事处应当确保对有集中供养意愿的特困人员中的老年人实行集中供养，特困人员中失能老年人以县（市、区）为单位，集中到护理型养老机构统一照护；对分散供养的特困人员中的老年人，通过签订供养协议，督促供养责任人履行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鼓励支持乡村医生、农村养老机构中的护理人员发挥专业特长，为农村居家失能老年人提供上门护理服务，或者对其家庭成员进行护理指导。</w:t>
      </w:r>
    </w:p>
    <w:p>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鼓励乡镇卫生院与养老服务机构之间资源共享，通过医养结合等服务模式，为农村老年人提供养老服务。</w:t>
      </w:r>
    </w:p>
    <w:p>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民政部门可以依托乡镇敬老院、农村幸福院等载体开办老年食堂、设置老年助餐点，探索邻里互助、结对帮扶等模式解决农村老年人助餐服务需求。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鼓励通过财政补助、村集体自筹、老年人子女承担、社会捐赠等多渠道筹集运营资金，为农村老年人提供助餐配餐服务。</w:t>
      </w:r>
    </w:p>
    <w:p>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市、县（市、区）人民政府鼓励有条件的村将经营收入、土地流转、集体经营性建设用地出租出让等集体经济收益，通过法定程序，按照一定比例用于解决本村老年人的养老服务需求。</w:t>
      </w:r>
    </w:p>
    <w:p>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市、县（市、区）人民政府应当健全农村留守老年人关爱服务体系，村民委员会协助做好辖区内留守老年人基本信息摸查、定期探访等工作，及时了解留守老年人生活状况和家庭赡养责任落实情况，提供相应援助。将关爱服务纳入村规民约，推动形成孝敬父母、尊重老人、互帮互助、邻里相亲的良好社会风尚。</w:t>
      </w:r>
    </w:p>
    <w:p>
      <w:pPr>
        <w:rPr>
          <w:rFonts w:ascii="Times New Roman" w:hAnsi="Times New Roman" w:eastAsia="宋体" w:cs="宋体"/>
          <w:szCs w:val="32"/>
        </w:rPr>
      </w:pPr>
    </w:p>
    <w:p>
      <w:pPr>
        <w:jc w:val="center"/>
        <w:rPr>
          <w:rFonts w:ascii="Times New Roman" w:hAnsi="Times New Roman" w:eastAsia="宋体" w:cs="宋体"/>
          <w:szCs w:val="32"/>
        </w:rPr>
      </w:pPr>
      <w:bookmarkStart w:id="50" w:name="第四节 医养结合服务"/>
      <w:bookmarkEnd w:id="50"/>
      <w:r>
        <w:rPr>
          <w:rFonts w:hint="eastAsia" w:ascii="Times New Roman" w:hAnsi="Times New Roman" w:eastAsia="宋体" w:cs="宋体"/>
          <w:sz w:val="32"/>
          <w:szCs w:val="32"/>
          <w:lang w:val="en-US"/>
        </w:rPr>
        <w:t>第四节　医养结合服务</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市、县（市、区）人民政府应当建立健全医养结合机制，统筹医疗卫生和养老服务资源，促进医疗卫生和养老服务融合发展。</w:t>
      </w:r>
    </w:p>
    <w:p>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卫生健康、民政等部门应当支持医疗机构与养老机构开展多种形式的合作共建，推动医疗机构为养老机构中的老年人提供医疗巡诊、健康管理、保健咨询等服务，建立康复病床、预约就诊、双向转诊、急诊就诊等医疗服务绿色通道；鼓励有条件的养老机构与协议合作的医疗机构建立双向转介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支持养老机构根据服务需求和自身能力在其内部设置门诊部、诊所、医务室、护理站等，为入住的老年人提供疾病治疗、康复护理、心理咨询等服务。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支持二级以上综合医院开设老年病科，重点向康复护理、安宁疗护和养老服务延伸；引导有条件的二级及以下医疗机构转型发展成为收治高龄、重病、失能或者部分失能老年人的医养结合机构。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鼓励支持社会力量兴办医养结合机构。</w:t>
      </w:r>
    </w:p>
    <w:p>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卫生健康部门应当支持、鼓励、指导基层医疗卫生机构为居家老年人提供下列服务：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（一）建立老年人健康档案，提供健康管理、慢性病管理等基本公共卫生服务；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（二）提供常见病和多发病的诊治、用药指导和转诊预约等基本医疗服务；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（三）根据需要提供上门出诊、健康体检、家庭病床、社区护理等延伸性医疗服务和康复保健服务；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（四）落实家庭医生签约服务制度，为老年人提供医疗、护理、康复指导等服务；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（五）根据与社区居家养老服务组织的合作协议，为老年人提供医疗卫生服务。</w:t>
      </w:r>
    </w:p>
    <w:p>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支持符合条件的执业医师到医养结合机构执业。医养结合机构中的医护人员享有与其他医疗卫生机构同等的职称评定、专业技术培训和继续医学教育等资格。</w:t>
      </w:r>
    </w:p>
    <w:p>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市、县（市、区）人民政府及其有关部门应当组织推行长期护理保险制度，为符合条件的失能老年人提供基本生活和医疗护理服务，并逐步提高保障标准、扩大保障范围。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鼓励发展商业性护理保险产品，满足参保老年人个性化照护服务需求。</w:t>
      </w:r>
    </w:p>
    <w:p>
      <w:pPr>
        <w:rPr>
          <w:rFonts w:ascii="Times New Roman" w:hAnsi="Times New Roman" w:eastAsia="宋体" w:cs="宋体"/>
          <w:szCs w:val="32"/>
        </w:rPr>
      </w:pPr>
    </w:p>
    <w:p>
      <w:pPr>
        <w:jc w:val="center"/>
        <w:rPr>
          <w:rFonts w:ascii="Times New Roman" w:hAnsi="Times New Roman" w:eastAsia="黑体" w:cs="黑体"/>
          <w:szCs w:val="32"/>
        </w:rPr>
      </w:pPr>
      <w:bookmarkStart w:id="56" w:name="第四章 人才培养和激励"/>
      <w:bookmarkEnd w:id="56"/>
      <w:r>
        <w:rPr>
          <w:rFonts w:hint="eastAsia" w:ascii="Times New Roman" w:hAnsi="Times New Roman" w:eastAsia="黑体" w:cs="黑体"/>
          <w:szCs w:val="32"/>
        </w:rPr>
        <w:t>第四章　人才培养和激励</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7" w:name="第四十七条"/>
      <w:bookmarkEnd w:id="57"/>
      <w:r>
        <w:rPr>
          <w:rFonts w:hint="eastAsia" w:ascii="Times New Roman" w:hAnsi="Times New Roman" w:eastAsia="黑体" w:cs="黑体"/>
          <w:sz w:val="32"/>
          <w:szCs w:val="32"/>
        </w:rPr>
        <w:t>第四十七条</w:t>
      </w:r>
      <w:r>
        <w:rPr>
          <w:rFonts w:hint="eastAsia" w:ascii="Times New Roman" w:hAnsi="Times New Roman" w:cs="仿宋_GB2312"/>
          <w:sz w:val="32"/>
          <w:szCs w:val="32"/>
        </w:rPr>
        <w:t>　教育、人力资源社会保障部门应当将养老服务专业人才培养纳入教育培训规划，鼓励支持高等院校、职业学校、技工学校和培训机构开设老年医学、健康养老、康复、护理等养老服务相关专业或者培训项目，在养老服务组织、医疗卫生机构建立教学实习基地，培养养老服务专业人才。</w:t>
      </w:r>
    </w:p>
    <w:p>
      <w:pPr>
        <w:ind w:firstLine="632" w:firstLineChars="200"/>
        <w:rPr>
          <w:rFonts w:ascii="Times New Roman" w:hAnsi="Times New Roman" w:cs="仿宋_GB2312"/>
          <w:sz w:val="32"/>
          <w:szCs w:val="32"/>
        </w:rPr>
      </w:pPr>
      <w:bookmarkStart w:id="58" w:name="第四十八条"/>
      <w:bookmarkEnd w:id="58"/>
      <w:r>
        <w:rPr>
          <w:rFonts w:hint="eastAsia" w:ascii="Times New Roman" w:hAnsi="Times New Roman" w:eastAsia="黑体" w:cs="黑体"/>
          <w:sz w:val="32"/>
          <w:szCs w:val="32"/>
        </w:rPr>
        <w:t>第四十八条</w:t>
      </w:r>
      <w:r>
        <w:rPr>
          <w:rFonts w:hint="eastAsia" w:ascii="Times New Roman" w:hAnsi="Times New Roman" w:cs="仿宋_GB2312"/>
          <w:sz w:val="32"/>
          <w:szCs w:val="32"/>
        </w:rPr>
        <w:t>　人力资源社会保障、卫生健康、民政等部门应当依托社会培训机构、职业院校等对养老服务人员实施职业技能培训，按照规定落实培训费补贴政策。</w:t>
      </w:r>
    </w:p>
    <w:p>
      <w:pPr>
        <w:ind w:firstLine="632" w:firstLineChars="200"/>
        <w:rPr>
          <w:rFonts w:ascii="Times New Roman" w:hAnsi="Times New Roman" w:cs="仿宋_GB2312"/>
          <w:sz w:val="32"/>
          <w:szCs w:val="32"/>
        </w:rPr>
      </w:pPr>
      <w:bookmarkStart w:id="59" w:name="第四十九条"/>
      <w:bookmarkEnd w:id="59"/>
      <w:r>
        <w:rPr>
          <w:rFonts w:hint="eastAsia" w:ascii="Times New Roman" w:hAnsi="Times New Roman" w:eastAsia="黑体" w:cs="黑体"/>
          <w:sz w:val="32"/>
          <w:szCs w:val="32"/>
        </w:rPr>
        <w:t>第四十九条</w:t>
      </w:r>
      <w:r>
        <w:rPr>
          <w:rFonts w:hint="eastAsia" w:ascii="Times New Roman" w:hAnsi="Times New Roman" w:cs="仿宋_GB2312"/>
          <w:sz w:val="32"/>
          <w:szCs w:val="32"/>
        </w:rPr>
        <w:t>　养老服务组织应当定期开展对养老服务人员的职业道德教育和职业技能培训，提高养老服务人员的道德素养和职业技能；加强对养老服务人员的服务管理，与养老服务人员依法签订聘用合同或者劳动合同，缴纳社会保险费，改善工作环境，提高工作待遇，并安排其定期进行健康检查。</w:t>
      </w:r>
    </w:p>
    <w:p>
      <w:pPr>
        <w:ind w:firstLine="632" w:firstLineChars="200"/>
        <w:rPr>
          <w:rFonts w:ascii="Times New Roman" w:hAnsi="Times New Roman" w:cs="仿宋_GB2312"/>
          <w:sz w:val="32"/>
          <w:szCs w:val="32"/>
        </w:rPr>
      </w:pPr>
      <w:bookmarkStart w:id="60" w:name="第五十条"/>
      <w:bookmarkEnd w:id="60"/>
      <w:r>
        <w:rPr>
          <w:rFonts w:hint="eastAsia" w:ascii="Times New Roman" w:hAnsi="Times New Roman" w:eastAsia="黑体" w:cs="黑体"/>
          <w:sz w:val="32"/>
          <w:szCs w:val="32"/>
        </w:rPr>
        <w:t>第五十条</w:t>
      </w:r>
      <w:r>
        <w:rPr>
          <w:rFonts w:hint="eastAsia" w:ascii="Times New Roman" w:hAnsi="Times New Roman" w:cs="仿宋_GB2312"/>
          <w:sz w:val="32"/>
          <w:szCs w:val="32"/>
        </w:rPr>
        <w:t>　市、县（市、区）人民政府应当支持鼓励领办创办养老服务组织。自主创办养老服务企业，符合条件的，可以享受创业担保贷款、一次性创业补贴；吸纳就业困难人员、高校毕业生就业的，可以按照规定申请享受社保补贴、就业见习补贴等扶持政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对在养老服务组织连续从事养老服务工作达到规定年限的高等院校、职业学校的毕业生，给予入职奖励或者补贴。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引进、培养的养老服务优秀人才，符合条件的，可以申报国家、省、市、县（市、区）重点人才工程，申请入住人才公寓，按照规定享受居住落户、配偶安置、子女教育等方面的优惠政策。</w:t>
      </w:r>
    </w:p>
    <w:p>
      <w:pPr>
        <w:ind w:firstLine="632" w:firstLineChars="200"/>
        <w:rPr>
          <w:rFonts w:ascii="Times New Roman" w:hAnsi="Times New Roman" w:cs="仿宋_GB2312"/>
          <w:sz w:val="32"/>
          <w:szCs w:val="32"/>
        </w:rPr>
      </w:pPr>
      <w:bookmarkStart w:id="61" w:name="第五十一条"/>
      <w:bookmarkEnd w:id="61"/>
      <w:r>
        <w:rPr>
          <w:rFonts w:hint="eastAsia" w:ascii="Times New Roman" w:hAnsi="Times New Roman" w:eastAsia="黑体" w:cs="黑体"/>
          <w:sz w:val="32"/>
          <w:szCs w:val="32"/>
        </w:rPr>
        <w:t>第五十一条</w:t>
      </w:r>
      <w:r>
        <w:rPr>
          <w:rFonts w:hint="eastAsia" w:ascii="Times New Roman" w:hAnsi="Times New Roman" w:cs="仿宋_GB2312"/>
          <w:sz w:val="32"/>
          <w:szCs w:val="32"/>
        </w:rPr>
        <w:t>　市、县（市、区）人民政府应当建立专业社会工作人才引入机制，鼓励在养老服务组织中开发设置社会工作者岗位或者购买社会工作服务，吸引专业社会工作者和高等院校社会工作专业毕业生从事养老服务工作。</w:t>
      </w:r>
    </w:p>
    <w:p>
      <w:pPr>
        <w:ind w:firstLine="632" w:firstLineChars="200"/>
        <w:rPr>
          <w:rFonts w:ascii="Times New Roman" w:hAnsi="Times New Roman" w:cs="仿宋_GB2312"/>
          <w:sz w:val="32"/>
          <w:szCs w:val="32"/>
        </w:rPr>
      </w:pPr>
      <w:bookmarkStart w:id="62" w:name="第五十二条"/>
      <w:bookmarkEnd w:id="62"/>
      <w:r>
        <w:rPr>
          <w:rFonts w:hint="eastAsia" w:ascii="Times New Roman" w:hAnsi="Times New Roman" w:eastAsia="黑体" w:cs="黑体"/>
          <w:sz w:val="32"/>
          <w:szCs w:val="32"/>
        </w:rPr>
        <w:t>第五十二条</w:t>
      </w:r>
      <w:r>
        <w:rPr>
          <w:rFonts w:hint="eastAsia" w:ascii="Times New Roman" w:hAnsi="Times New Roman" w:cs="仿宋_GB2312"/>
          <w:sz w:val="32"/>
          <w:szCs w:val="32"/>
        </w:rPr>
        <w:t>　市、县（市、区）人民政府应当培育和扶持各类养老服务志愿组织，培养养老服务志愿者队伍，建立健全养老志愿服务时间储蓄制度。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民政部门会同数据管理部门建立养老志愿服务时间储蓄信息管理平台，实现服务对象需求发布、志愿者服务时间预存和转移、志愿服务评价等功能。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养老志愿服务时间储蓄具体办法由市民政部门制定，报市人民政府批准后组织实施。</w:t>
      </w:r>
    </w:p>
    <w:p>
      <w:pPr>
        <w:rPr>
          <w:rFonts w:ascii="Times New Roman" w:hAnsi="Times New Roman" w:eastAsia="宋体" w:cs="宋体"/>
          <w:szCs w:val="32"/>
        </w:rPr>
      </w:pPr>
    </w:p>
    <w:p>
      <w:pPr>
        <w:jc w:val="center"/>
        <w:rPr>
          <w:rFonts w:ascii="Times New Roman" w:hAnsi="Times New Roman" w:eastAsia="黑体" w:cs="黑体"/>
          <w:szCs w:val="32"/>
        </w:rPr>
      </w:pPr>
      <w:bookmarkStart w:id="63" w:name="第五章 扶持政策和措施"/>
      <w:bookmarkEnd w:id="63"/>
      <w:r>
        <w:rPr>
          <w:rFonts w:hint="eastAsia" w:ascii="Times New Roman" w:hAnsi="Times New Roman" w:eastAsia="黑体" w:cs="黑体"/>
          <w:szCs w:val="32"/>
        </w:rPr>
        <w:t>第五章　扶持政策和措施</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64" w:name="第五十三条"/>
      <w:bookmarkEnd w:id="64"/>
      <w:r>
        <w:rPr>
          <w:rFonts w:hint="eastAsia" w:ascii="Times New Roman" w:hAnsi="Times New Roman" w:eastAsia="黑体" w:cs="黑体"/>
          <w:sz w:val="32"/>
          <w:szCs w:val="32"/>
        </w:rPr>
        <w:t>第五十三条</w:t>
      </w:r>
      <w:r>
        <w:rPr>
          <w:rFonts w:hint="eastAsia" w:ascii="Times New Roman" w:hAnsi="Times New Roman" w:cs="仿宋_GB2312"/>
          <w:sz w:val="32"/>
          <w:szCs w:val="32"/>
        </w:rPr>
        <w:t>　市、县（市、区）人民政府应当加大对养老服务发展的财政支持，设立养老服务发展专项资金。市、县级地方留成的福利彩票公益金百分之五十五以上应当用于支持发展养老服务，并随着老年人口的增加和经济社会发展，逐步提高投入比例。</w:t>
      </w:r>
    </w:p>
    <w:p>
      <w:pPr>
        <w:ind w:firstLine="632" w:firstLineChars="200"/>
        <w:rPr>
          <w:rFonts w:ascii="Times New Roman" w:hAnsi="Times New Roman" w:cs="仿宋_GB2312"/>
          <w:sz w:val="32"/>
          <w:szCs w:val="32"/>
        </w:rPr>
      </w:pPr>
      <w:bookmarkStart w:id="65" w:name="第五十四条"/>
      <w:bookmarkEnd w:id="65"/>
      <w:r>
        <w:rPr>
          <w:rFonts w:hint="eastAsia" w:ascii="Times New Roman" w:hAnsi="Times New Roman" w:eastAsia="黑体" w:cs="黑体"/>
          <w:sz w:val="32"/>
          <w:szCs w:val="32"/>
        </w:rPr>
        <w:t>第五十四条</w:t>
      </w:r>
      <w:r>
        <w:rPr>
          <w:rFonts w:hint="eastAsia" w:ascii="Times New Roman" w:hAnsi="Times New Roman" w:cs="仿宋_GB2312"/>
          <w:sz w:val="32"/>
          <w:szCs w:val="32"/>
        </w:rPr>
        <w:t>　市、县（市、区）人民政府应当健全完善养老服务设施土地利用政策。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非营利性养老服务设施建设用地，可以依法使用国有划拨土地和农村集体土地；采取改造利用城镇闲置厂房、学校、社区用房等方式的，按照相关规定享受用地优惠政策。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营利性养老服务设施建设用地，按照国家对营利性用地依法办理有偿使用手续的规定，优先保障供应。</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采取政府和社会资本合作方式的养老服务项目，可以利用国有建设用地使用权作价出资或者入股建设。</w:t>
      </w:r>
    </w:p>
    <w:p>
      <w:pPr>
        <w:ind w:firstLine="632" w:firstLineChars="200"/>
        <w:rPr>
          <w:rFonts w:ascii="Times New Roman" w:hAnsi="Times New Roman" w:cs="仿宋_GB2312"/>
          <w:sz w:val="32"/>
          <w:szCs w:val="32"/>
        </w:rPr>
      </w:pPr>
      <w:bookmarkStart w:id="66" w:name="第五十五条"/>
      <w:bookmarkEnd w:id="66"/>
      <w:r>
        <w:rPr>
          <w:rFonts w:hint="eastAsia" w:ascii="Times New Roman" w:hAnsi="Times New Roman" w:eastAsia="黑体" w:cs="黑体"/>
          <w:sz w:val="32"/>
          <w:szCs w:val="32"/>
        </w:rPr>
        <w:t>第五十五条</w:t>
      </w:r>
      <w:r>
        <w:rPr>
          <w:rFonts w:hint="eastAsia" w:ascii="Times New Roman" w:hAnsi="Times New Roman" w:cs="仿宋_GB2312"/>
          <w:sz w:val="32"/>
          <w:szCs w:val="32"/>
        </w:rPr>
        <w:t>　市、县（市、区）人民政府应当建立健全政府购买养老服务制度，将生活照料、家政服务、康复护理、医疗保健、精神慰藉、家庭无障碍改造等服务纳入政府购买服务指导性目录，并适时调整。</w:t>
      </w:r>
    </w:p>
    <w:p>
      <w:pPr>
        <w:ind w:firstLine="632" w:firstLineChars="200"/>
        <w:rPr>
          <w:rFonts w:ascii="Times New Roman" w:hAnsi="Times New Roman" w:cs="仿宋_GB2312"/>
          <w:sz w:val="32"/>
          <w:szCs w:val="32"/>
        </w:rPr>
      </w:pPr>
      <w:bookmarkStart w:id="67" w:name="第五十六条"/>
      <w:bookmarkEnd w:id="67"/>
      <w:r>
        <w:rPr>
          <w:rFonts w:hint="eastAsia" w:ascii="Times New Roman" w:hAnsi="Times New Roman" w:eastAsia="黑体" w:cs="黑体"/>
          <w:sz w:val="32"/>
          <w:szCs w:val="32"/>
        </w:rPr>
        <w:t>第五十六条</w:t>
      </w:r>
      <w:r>
        <w:rPr>
          <w:rFonts w:hint="eastAsia" w:ascii="Times New Roman" w:hAnsi="Times New Roman" w:cs="仿宋_GB2312"/>
          <w:sz w:val="32"/>
          <w:szCs w:val="32"/>
        </w:rPr>
        <w:t>　市、县（市、区）人民政府应当按照国家和省有关规定，建立完善养老服务组织资金补助政策。对符合条件的养老服务组织按照规定给予相应的建设补助。对养老机构根据其实际入住老年人的数量、身体状况等情况给予运营补助。对社区居家养老服务设施的补贴、补助按照有关规定执行。</w:t>
      </w:r>
    </w:p>
    <w:p>
      <w:pPr>
        <w:ind w:firstLine="632" w:firstLineChars="200"/>
        <w:rPr>
          <w:rFonts w:ascii="Times New Roman" w:hAnsi="Times New Roman" w:cs="仿宋_GB2312"/>
          <w:sz w:val="32"/>
          <w:szCs w:val="32"/>
        </w:rPr>
      </w:pPr>
      <w:bookmarkStart w:id="68" w:name="第五十七条"/>
      <w:bookmarkEnd w:id="68"/>
      <w:r>
        <w:rPr>
          <w:rFonts w:hint="eastAsia" w:ascii="Times New Roman" w:hAnsi="Times New Roman" w:eastAsia="黑体" w:cs="黑体"/>
          <w:sz w:val="32"/>
          <w:szCs w:val="32"/>
        </w:rPr>
        <w:t>第五十七条</w:t>
      </w:r>
      <w:r>
        <w:rPr>
          <w:rFonts w:hint="eastAsia" w:ascii="Times New Roman" w:hAnsi="Times New Roman" w:cs="仿宋_GB2312"/>
          <w:sz w:val="32"/>
          <w:szCs w:val="32"/>
        </w:rPr>
        <w:t>　市、县（市、区）人民政府应当按照有关规定推进落实具有本市户籍的八十周岁以上老年人高龄津贴制度，并逐步提高津贴水平。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市、县（市、区）人民政府应当按照国家和省有关规定，建立健全经济困难老年人补贴制度。根据养老服务需求评估结果，对经济困难的失能或者部分失能老年人给予相应补贴。</w:t>
      </w:r>
    </w:p>
    <w:p>
      <w:pPr>
        <w:ind w:firstLine="632" w:firstLineChars="200"/>
        <w:rPr>
          <w:rFonts w:ascii="Times New Roman" w:hAnsi="Times New Roman" w:cs="仿宋_GB2312"/>
          <w:sz w:val="32"/>
          <w:szCs w:val="32"/>
        </w:rPr>
      </w:pPr>
      <w:bookmarkStart w:id="69" w:name="第五十八条"/>
      <w:bookmarkEnd w:id="69"/>
      <w:r>
        <w:rPr>
          <w:rFonts w:hint="eastAsia" w:ascii="Times New Roman" w:hAnsi="Times New Roman" w:eastAsia="黑体" w:cs="黑体"/>
          <w:sz w:val="32"/>
          <w:szCs w:val="32"/>
        </w:rPr>
        <w:t>第五十八条</w:t>
      </w:r>
      <w:r>
        <w:rPr>
          <w:rFonts w:hint="eastAsia" w:ascii="Times New Roman" w:hAnsi="Times New Roman" w:cs="仿宋_GB2312"/>
          <w:sz w:val="32"/>
          <w:szCs w:val="32"/>
        </w:rPr>
        <w:t>　养老服务组织按照国家和省有关规定享受税收优惠和行政事业性收费减免政策。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养老服务组织用水、用电、用气、用热，按照居民生活类价格标准收费；安装、使用和维护固定电话、有线（数字）电视、宽带互联网，按照国家和省有关规定减免收费。</w:t>
      </w:r>
    </w:p>
    <w:p>
      <w:pPr>
        <w:ind w:firstLine="632" w:firstLineChars="200"/>
        <w:rPr>
          <w:rFonts w:ascii="Times New Roman" w:hAnsi="Times New Roman" w:cs="仿宋_GB2312"/>
          <w:sz w:val="32"/>
          <w:szCs w:val="32"/>
        </w:rPr>
      </w:pPr>
      <w:bookmarkStart w:id="70" w:name="第五十九条"/>
      <w:bookmarkEnd w:id="70"/>
      <w:r>
        <w:rPr>
          <w:rFonts w:hint="eastAsia" w:ascii="Times New Roman" w:hAnsi="Times New Roman" w:eastAsia="黑体" w:cs="黑体"/>
          <w:sz w:val="32"/>
          <w:szCs w:val="32"/>
        </w:rPr>
        <w:t>第五十九条</w:t>
      </w:r>
      <w:r>
        <w:rPr>
          <w:rFonts w:hint="eastAsia" w:ascii="Times New Roman" w:hAnsi="Times New Roman" w:cs="仿宋_GB2312"/>
          <w:sz w:val="32"/>
          <w:szCs w:val="32"/>
        </w:rPr>
        <w:t>　市、县（市、区）人民政府应当推动金融机构为养老服务项目提供金融服务，鼓励和引导各类金融机构创新金融产品和服务方式，加大对养老服务业的金融支持力度。</w:t>
      </w:r>
    </w:p>
    <w:p>
      <w:pPr>
        <w:ind w:firstLine="632" w:firstLineChars="200"/>
        <w:rPr>
          <w:rFonts w:ascii="Times New Roman" w:hAnsi="Times New Roman" w:cs="仿宋_GB2312"/>
          <w:sz w:val="32"/>
          <w:szCs w:val="32"/>
        </w:rPr>
      </w:pPr>
      <w:bookmarkStart w:id="71" w:name="第六十条"/>
      <w:bookmarkEnd w:id="71"/>
      <w:r>
        <w:rPr>
          <w:rFonts w:hint="eastAsia" w:ascii="Times New Roman" w:hAnsi="Times New Roman" w:eastAsia="黑体" w:cs="黑体"/>
          <w:sz w:val="32"/>
          <w:szCs w:val="32"/>
        </w:rPr>
        <w:t>第六十条</w:t>
      </w:r>
      <w:r>
        <w:rPr>
          <w:rFonts w:hint="eastAsia" w:ascii="Times New Roman" w:hAnsi="Times New Roman" w:cs="仿宋_GB2312"/>
          <w:sz w:val="32"/>
          <w:szCs w:val="32"/>
        </w:rPr>
        <w:t>　市、县（市、区）人民政府应当鼓励发展养老服务产业，培育养老新兴业态，支持养老服务产业与健康、养生、健身、家政、文化、旅游、休闲等产业融合发展。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对符合条件的公益型普惠型养老机构运营、居家社区养老体系建设、纳入相关目录的老年产品制造企业等，按照市场化原则提供信贷支持。</w:t>
      </w:r>
    </w:p>
    <w:p>
      <w:pPr>
        <w:ind w:firstLine="632" w:firstLineChars="200"/>
        <w:rPr>
          <w:rFonts w:ascii="Times New Roman" w:hAnsi="Times New Roman" w:cs="仿宋_GB2312"/>
          <w:sz w:val="32"/>
          <w:szCs w:val="32"/>
        </w:rPr>
      </w:pPr>
      <w:bookmarkStart w:id="72" w:name="第六十一条"/>
      <w:bookmarkEnd w:id="72"/>
      <w:r>
        <w:rPr>
          <w:rFonts w:hint="eastAsia" w:ascii="Times New Roman" w:hAnsi="Times New Roman" w:eastAsia="黑体" w:cs="黑体"/>
          <w:sz w:val="32"/>
          <w:szCs w:val="32"/>
        </w:rPr>
        <w:t>第六十一条</w:t>
      </w:r>
      <w:r>
        <w:rPr>
          <w:rFonts w:hint="eastAsia" w:ascii="Times New Roman" w:hAnsi="Times New Roman" w:cs="仿宋_GB2312"/>
          <w:sz w:val="32"/>
          <w:szCs w:val="32"/>
        </w:rPr>
        <w:t>　市、县（市、区）人民政府应当推动人工智能、物联网、云计算、大数据等新一代信息技术在养老服务领域的应用，鼓励和支持企业研发智能康复辅助器具、便携式健康监测设备、智能养老监护设备、家庭服务机器人等相关产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民政部门应当依托智慧养老服务综合平台，建设养老机构监管、居家养老服务、健康服务管理等系统，打造老有所养、老有所医、老有所为、老有所学、老有所乐的为老服务场景。</w:t>
      </w:r>
    </w:p>
    <w:p>
      <w:pPr>
        <w:rPr>
          <w:rFonts w:ascii="Times New Roman" w:hAnsi="Times New Roman" w:eastAsia="宋体" w:cs="宋体"/>
          <w:szCs w:val="32"/>
        </w:rPr>
      </w:pPr>
    </w:p>
    <w:p>
      <w:pPr>
        <w:jc w:val="center"/>
        <w:rPr>
          <w:rFonts w:ascii="Times New Roman" w:hAnsi="Times New Roman" w:eastAsia="黑体" w:cs="黑体"/>
          <w:szCs w:val="32"/>
        </w:rPr>
      </w:pPr>
      <w:bookmarkStart w:id="73" w:name="第六章 监督和管理"/>
      <w:bookmarkEnd w:id="73"/>
      <w:r>
        <w:rPr>
          <w:rFonts w:hint="eastAsia" w:ascii="Times New Roman" w:hAnsi="Times New Roman" w:eastAsia="黑体" w:cs="黑体"/>
          <w:szCs w:val="32"/>
        </w:rPr>
        <w:t>第六章　监督和管理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74" w:name="第六十二条"/>
      <w:bookmarkEnd w:id="74"/>
      <w:r>
        <w:rPr>
          <w:rFonts w:hint="eastAsia" w:ascii="Times New Roman" w:hAnsi="Times New Roman" w:eastAsia="黑体" w:cs="黑体"/>
          <w:sz w:val="32"/>
          <w:szCs w:val="32"/>
        </w:rPr>
        <w:t>第六十二条</w:t>
      </w:r>
      <w:r>
        <w:rPr>
          <w:rFonts w:hint="eastAsia" w:ascii="Times New Roman" w:hAnsi="Times New Roman" w:cs="仿宋_GB2312"/>
          <w:sz w:val="32"/>
          <w:szCs w:val="32"/>
        </w:rPr>
        <w:t>　市、县（市、区）人民政府应当加强对养老服务工作的监督管理，并将养老服务工作纳入年度绩效考核，建立责任追究制度，对所属单位履行养老服务职责的情况进行专项检查，发现问题责令限期整改。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民政部门应当会同公安、市场监管、应急、卫生健康等部门建立跨部门协同监管机制，完善事中事后监管制度，对本行政区域内养老服务活动依法进行监督检查，发现违法行为的，应当及时查处。</w:t>
      </w:r>
    </w:p>
    <w:p>
      <w:pPr>
        <w:ind w:firstLine="632" w:firstLineChars="200"/>
        <w:rPr>
          <w:rFonts w:ascii="Times New Roman" w:hAnsi="Times New Roman" w:cs="仿宋_GB2312"/>
          <w:sz w:val="32"/>
          <w:szCs w:val="32"/>
        </w:rPr>
      </w:pPr>
      <w:bookmarkStart w:id="75" w:name="第六十三条"/>
      <w:bookmarkEnd w:id="75"/>
      <w:r>
        <w:rPr>
          <w:rFonts w:hint="eastAsia" w:ascii="Times New Roman" w:hAnsi="Times New Roman" w:eastAsia="黑体" w:cs="黑体"/>
          <w:sz w:val="32"/>
          <w:szCs w:val="32"/>
        </w:rPr>
        <w:t>第六十三条</w:t>
      </w:r>
      <w:r>
        <w:rPr>
          <w:rFonts w:hint="eastAsia" w:ascii="Times New Roman" w:hAnsi="Times New Roman" w:cs="仿宋_GB2312"/>
          <w:sz w:val="32"/>
          <w:szCs w:val="32"/>
        </w:rPr>
        <w:t>　民政部门应当建立养老机构服务质量评估制度、等级划分与评定制度，定期组织有关方面专家或者委托相关社会组织、第三方专业机构等，按照养老服务相关标准对养老机构的环境、设施设备、运营管理和服务等进行综合评估。评估结果应当向社会公开，并根据评估结果对养老机构实行分级管理。</w:t>
      </w:r>
    </w:p>
    <w:p>
      <w:pPr>
        <w:ind w:firstLine="632" w:firstLineChars="200"/>
        <w:rPr>
          <w:rFonts w:ascii="Times New Roman" w:hAnsi="Times New Roman" w:cs="仿宋_GB2312"/>
          <w:sz w:val="32"/>
          <w:szCs w:val="32"/>
        </w:rPr>
      </w:pPr>
      <w:bookmarkStart w:id="76" w:name="第六十四条"/>
      <w:bookmarkEnd w:id="76"/>
      <w:r>
        <w:rPr>
          <w:rFonts w:hint="eastAsia" w:ascii="Times New Roman" w:hAnsi="Times New Roman" w:eastAsia="黑体" w:cs="黑体"/>
          <w:sz w:val="32"/>
          <w:szCs w:val="32"/>
        </w:rPr>
        <w:t>第六十四条</w:t>
      </w:r>
      <w:r>
        <w:rPr>
          <w:rFonts w:hint="eastAsia" w:ascii="Times New Roman" w:hAnsi="Times New Roman" w:cs="仿宋_GB2312"/>
          <w:sz w:val="32"/>
          <w:szCs w:val="32"/>
        </w:rPr>
        <w:t>　审计机关按照有关规定，对政府设立的养老服务组织的财务状况和其他养老服务组织接受的政府补贴、补助资金使用情况进行审计监督。</w:t>
      </w:r>
    </w:p>
    <w:p>
      <w:pPr>
        <w:ind w:firstLine="632" w:firstLineChars="200"/>
        <w:rPr>
          <w:rFonts w:ascii="Times New Roman" w:hAnsi="Times New Roman" w:cs="仿宋_GB2312"/>
          <w:sz w:val="32"/>
          <w:szCs w:val="32"/>
        </w:rPr>
      </w:pPr>
      <w:bookmarkStart w:id="77" w:name="第六十五条"/>
      <w:bookmarkEnd w:id="77"/>
      <w:r>
        <w:rPr>
          <w:rFonts w:hint="eastAsia" w:ascii="Times New Roman" w:hAnsi="Times New Roman" w:eastAsia="黑体" w:cs="黑体"/>
          <w:sz w:val="32"/>
          <w:szCs w:val="32"/>
        </w:rPr>
        <w:t>第六十五条</w:t>
      </w:r>
      <w:r>
        <w:rPr>
          <w:rFonts w:hint="eastAsia" w:ascii="Times New Roman" w:hAnsi="Times New Roman" w:cs="仿宋_GB2312"/>
          <w:sz w:val="32"/>
          <w:szCs w:val="32"/>
        </w:rPr>
        <w:t>　民政等有关部门应当建立养老服务举报投诉制度，公布举报投诉电话、电子邮箱等，设置举报投诉信箱，依法受理并处理有关举报和投诉。</w:t>
      </w:r>
    </w:p>
    <w:p>
      <w:pPr>
        <w:rPr>
          <w:rFonts w:ascii="Times New Roman" w:hAnsi="Times New Roman" w:eastAsia="宋体" w:cs="宋体"/>
          <w:szCs w:val="32"/>
        </w:rPr>
      </w:pPr>
    </w:p>
    <w:p>
      <w:pPr>
        <w:jc w:val="center"/>
        <w:rPr>
          <w:rFonts w:ascii="Times New Roman" w:hAnsi="Times New Roman" w:eastAsia="黑体" w:cs="黑体"/>
          <w:szCs w:val="32"/>
        </w:rPr>
      </w:pPr>
      <w:bookmarkStart w:id="78" w:name="第七章 法律责任"/>
      <w:bookmarkEnd w:id="78"/>
      <w:r>
        <w:rPr>
          <w:rFonts w:hint="eastAsia" w:ascii="Times New Roman" w:hAnsi="Times New Roman" w:eastAsia="黑体" w:cs="黑体"/>
          <w:szCs w:val="32"/>
        </w:rPr>
        <w:t>第七章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79" w:name="第六十六条"/>
      <w:bookmarkEnd w:id="79"/>
      <w:r>
        <w:rPr>
          <w:rFonts w:hint="eastAsia" w:ascii="Times New Roman" w:hAnsi="Times New Roman" w:eastAsia="黑体" w:cs="黑体"/>
          <w:sz w:val="32"/>
          <w:szCs w:val="32"/>
        </w:rPr>
        <w:t>第六十六条</w:t>
      </w:r>
      <w:r>
        <w:rPr>
          <w:rFonts w:hint="eastAsia" w:ascii="Times New Roman" w:hAnsi="Times New Roman" w:cs="仿宋_GB2312"/>
          <w:sz w:val="32"/>
          <w:szCs w:val="32"/>
        </w:rPr>
        <w:t>　违反本条例规定的行为，法律、法规已规定法律责任的，从其规定；法律、法规未规定法律责任的，依照本条例规定执行。</w:t>
      </w:r>
    </w:p>
    <w:p>
      <w:pPr>
        <w:ind w:firstLine="632" w:firstLineChars="200"/>
        <w:rPr>
          <w:rFonts w:ascii="Times New Roman" w:hAnsi="Times New Roman" w:cs="仿宋_GB2312"/>
          <w:sz w:val="32"/>
          <w:szCs w:val="32"/>
        </w:rPr>
      </w:pPr>
      <w:bookmarkStart w:id="80" w:name="第六十七条"/>
      <w:bookmarkEnd w:id="80"/>
      <w:r>
        <w:rPr>
          <w:rFonts w:hint="eastAsia" w:ascii="Times New Roman" w:hAnsi="Times New Roman" w:eastAsia="黑体" w:cs="黑体"/>
          <w:sz w:val="32"/>
          <w:szCs w:val="32"/>
        </w:rPr>
        <w:t>第六十七条</w:t>
      </w:r>
      <w:r>
        <w:rPr>
          <w:rFonts w:hint="eastAsia" w:ascii="Times New Roman" w:hAnsi="Times New Roman" w:cs="仿宋_GB2312"/>
          <w:sz w:val="32"/>
          <w:szCs w:val="32"/>
        </w:rPr>
        <w:t>　违反本条例规定，建设单位未按照规定建设配套社区养老服务设施将城镇居住区建设项目交付使用的，或者未按照规定将配套社区养老服务设施以及有关建设资料全部无偿移交所在地县（市、区）民政部门的，由住房城乡建设部门责令限期改正；逾期不改正的，处配套社区养老服务设施建设工程造价二倍以上五倍以下的罚款。</w:t>
      </w:r>
    </w:p>
    <w:p>
      <w:pPr>
        <w:ind w:firstLine="632" w:firstLineChars="200"/>
        <w:rPr>
          <w:rFonts w:ascii="Times New Roman" w:hAnsi="Times New Roman" w:cs="仿宋_GB2312"/>
          <w:sz w:val="32"/>
          <w:szCs w:val="32"/>
        </w:rPr>
      </w:pPr>
      <w:bookmarkStart w:id="81" w:name="第六十八条"/>
      <w:bookmarkEnd w:id="81"/>
      <w:r>
        <w:rPr>
          <w:rFonts w:hint="eastAsia" w:ascii="Times New Roman" w:hAnsi="Times New Roman" w:eastAsia="黑体" w:cs="黑体"/>
          <w:sz w:val="32"/>
          <w:szCs w:val="32"/>
        </w:rPr>
        <w:t>第六十八条</w:t>
      </w:r>
      <w:r>
        <w:rPr>
          <w:rFonts w:hint="eastAsia" w:ascii="Times New Roman" w:hAnsi="Times New Roman" w:cs="仿宋_GB2312"/>
          <w:sz w:val="32"/>
          <w:szCs w:val="32"/>
        </w:rPr>
        <w:t>　违反本条例规定，擅自改变依法规划建设或者配置的养老服务设施使用性质的，由县级以上人民政府民政部门责令限期改正，有违法所得的，没收违法所得；逾期不改正的，处五万元以上十万元以下的罚款；情节严重的，处十万元以上三十万元以下的罚款。</w:t>
      </w:r>
    </w:p>
    <w:p>
      <w:pPr>
        <w:ind w:firstLine="632" w:firstLineChars="200"/>
        <w:rPr>
          <w:rFonts w:ascii="Times New Roman" w:hAnsi="Times New Roman" w:cs="仿宋_GB2312"/>
          <w:sz w:val="32"/>
          <w:szCs w:val="32"/>
        </w:rPr>
      </w:pPr>
      <w:bookmarkStart w:id="82" w:name="第六十九条"/>
      <w:bookmarkEnd w:id="82"/>
      <w:r>
        <w:rPr>
          <w:rFonts w:hint="eastAsia" w:ascii="Times New Roman" w:hAnsi="Times New Roman" w:eastAsia="黑体" w:cs="黑体"/>
          <w:sz w:val="32"/>
          <w:szCs w:val="32"/>
        </w:rPr>
        <w:t>第六十九条</w:t>
      </w:r>
      <w:r>
        <w:rPr>
          <w:rFonts w:hint="eastAsia" w:ascii="Times New Roman" w:hAnsi="Times New Roman" w:cs="仿宋_GB2312"/>
          <w:sz w:val="32"/>
          <w:szCs w:val="32"/>
        </w:rPr>
        <w:t>　政府有关部门及其工作人员在履行养老服务监督管理工作中有滥用职权、玩忽职守、徇私舞弊行为的，对直接负责的主管人员和其他直接责任人依法给予处分；构成犯罪的，依法追究刑事责任。</w:t>
      </w:r>
    </w:p>
    <w:p>
      <w:pPr>
        <w:ind w:firstLine="632" w:firstLineChars="200"/>
        <w:rPr>
          <w:rFonts w:ascii="Times New Roman" w:hAnsi="Times New Roman" w:cs="仿宋_GB2312"/>
          <w:sz w:val="32"/>
          <w:szCs w:val="32"/>
        </w:rPr>
      </w:pPr>
      <w:bookmarkStart w:id="83" w:name="第七十条"/>
      <w:bookmarkEnd w:id="83"/>
      <w:r>
        <w:rPr>
          <w:rFonts w:hint="eastAsia" w:ascii="Times New Roman" w:hAnsi="Times New Roman" w:eastAsia="黑体" w:cs="黑体"/>
          <w:sz w:val="32"/>
          <w:szCs w:val="32"/>
        </w:rPr>
        <w:t>第七十条</w:t>
      </w:r>
      <w:r>
        <w:rPr>
          <w:rFonts w:hint="eastAsia" w:ascii="Times New Roman" w:hAnsi="Times New Roman" w:cs="仿宋_GB2312"/>
          <w:sz w:val="32"/>
          <w:szCs w:val="32"/>
        </w:rPr>
        <w:t>　本章规定的行政处罚，按照相对集中行政处罚权的有关规定，应当由综合行政执法部门处罚的，依照其规定。</w:t>
      </w:r>
    </w:p>
    <w:p>
      <w:pPr>
        <w:rPr>
          <w:rFonts w:ascii="Times New Roman" w:hAnsi="Times New Roman" w:eastAsia="宋体" w:cs="宋体"/>
          <w:szCs w:val="32"/>
        </w:rPr>
      </w:pPr>
    </w:p>
    <w:p>
      <w:pPr>
        <w:jc w:val="center"/>
        <w:rPr>
          <w:rFonts w:ascii="Times New Roman" w:hAnsi="Times New Roman" w:eastAsia="黑体" w:cs="黑体"/>
          <w:szCs w:val="32"/>
        </w:rPr>
      </w:pPr>
      <w:bookmarkStart w:id="84" w:name="第八章 附则"/>
      <w:bookmarkEnd w:id="84"/>
      <w:r>
        <w:rPr>
          <w:rFonts w:hint="eastAsia" w:ascii="Times New Roman" w:hAnsi="Times New Roman" w:eastAsia="黑体" w:cs="黑体"/>
          <w:szCs w:val="32"/>
        </w:rPr>
        <w:t>第八章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85" w:name="第七十一条"/>
      <w:bookmarkEnd w:id="85"/>
      <w:r>
        <w:rPr>
          <w:rFonts w:hint="eastAsia" w:ascii="Times New Roman" w:hAnsi="Times New Roman" w:eastAsia="黑体" w:cs="黑体"/>
          <w:sz w:val="32"/>
          <w:szCs w:val="32"/>
        </w:rPr>
        <w:t>第七十一条</w:t>
      </w:r>
      <w:r>
        <w:rPr>
          <w:rFonts w:hint="eastAsia" w:ascii="Times New Roman" w:hAnsi="Times New Roman" w:cs="仿宋_GB2312"/>
          <w:sz w:val="32"/>
          <w:szCs w:val="32"/>
        </w:rPr>
        <w:t>　本条例下列用语的含义：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（一）养老服务组织，是指养老机构、从事社区居家养老服务的组织以及其他为老年人提供养老服务的组织。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（二）养老机构，是指为老年人提供集中居住和照料服务的营利性、非营利性机构，主要包括社会福利中心（院）、农村特困人员供养机构（乡镇敬老院）、民办养老机构等。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（三）养老服务设施，主要包含养老机构、社区居家养老服务中心、社区日间照料中心、农村幸福院等专门用于为老年人提供生活照料、康复护理、托养等服务的房屋、场地、设施等。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（四）失能或者部分失能老年人，是指经评估确认的生活不能自理或者不能完全自理的老年人。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（五）计划生育特殊家庭，是指独生子女三级以上残疾或者死亡、未再生育或者未收养子女的家庭。</w:t>
      </w:r>
    </w:p>
    <w:p>
      <w:pPr>
        <w:ind w:firstLine="632" w:firstLineChars="200"/>
        <w:rPr>
          <w:rFonts w:ascii="Times New Roman" w:hAnsi="Times New Roman" w:cs="仿宋_GB2312"/>
          <w:sz w:val="32"/>
          <w:szCs w:val="32"/>
        </w:rPr>
      </w:pPr>
      <w:bookmarkStart w:id="86" w:name="第七十二条"/>
      <w:bookmarkEnd w:id="86"/>
      <w:r>
        <w:rPr>
          <w:rFonts w:hint="eastAsia" w:ascii="Times New Roman" w:hAnsi="Times New Roman" w:eastAsia="黑体" w:cs="黑体"/>
          <w:sz w:val="32"/>
          <w:szCs w:val="32"/>
        </w:rPr>
        <w:t>第七十二条</w:t>
      </w:r>
      <w:r>
        <w:rPr>
          <w:rFonts w:hint="eastAsia" w:ascii="Times New Roman" w:hAnsi="Times New Roman" w:cs="仿宋_GB2312"/>
          <w:sz w:val="32"/>
          <w:szCs w:val="32"/>
        </w:rPr>
        <w:t>　本条例自2020年1月1日起施行。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B017E98"/>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0</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2025-01-21T01:22:18Z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