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宋体" w:hAnsi="宋体" w:cs="方正小标宋_GBK"/>
          <w:sz w:val="44"/>
          <w:szCs w:val="44"/>
        </w:rPr>
      </w:pPr>
    </w:p>
    <w:p>
      <w:pPr>
        <w:spacing w:line="580" w:lineRule="exact"/>
        <w:jc w:val="center"/>
        <w:rPr>
          <w:rFonts w:ascii="宋体" w:hAnsi="宋体" w:cs="方正小标宋_GBK"/>
          <w:sz w:val="44"/>
          <w:szCs w:val="44"/>
        </w:rPr>
      </w:pPr>
    </w:p>
    <w:p>
      <w:pPr>
        <w:spacing w:line="580" w:lineRule="exact"/>
        <w:jc w:val="center"/>
        <w:rPr>
          <w:rFonts w:eastAsia="方正楷体_GBK"/>
          <w:sz w:val="32"/>
          <w:szCs w:val="32"/>
        </w:rPr>
      </w:pPr>
      <w:r>
        <w:rPr>
          <w:rFonts w:hint="eastAsia" w:ascii="宋体" w:hAnsi="宋体" w:cs="方正小标宋_GBK"/>
          <w:sz w:val="44"/>
          <w:szCs w:val="44"/>
        </w:rPr>
        <w:t>德阳市海绵城市建设管理条例</w:t>
      </w:r>
    </w:p>
    <w:p>
      <w:pPr>
        <w:spacing w:line="580" w:lineRule="exact"/>
        <w:ind w:left="630" w:leftChars="300" w:right="630" w:rightChars="300"/>
        <w:jc w:val="left"/>
        <w:rPr>
          <w:rFonts w:ascii="楷体_GB2312" w:eastAsia="楷体_GB2312"/>
          <w:sz w:val="32"/>
          <w:szCs w:val="32"/>
        </w:rPr>
      </w:pPr>
    </w:p>
    <w:p>
      <w:pPr>
        <w:spacing w:line="580" w:lineRule="exact"/>
        <w:ind w:left="630" w:leftChars="300" w:right="630" w:rightChars="300"/>
        <w:jc w:val="both"/>
        <w:rPr>
          <w:rFonts w:ascii="楷体_GB2312" w:eastAsia="楷体_GB2312"/>
          <w:sz w:val="32"/>
          <w:szCs w:val="32"/>
        </w:rPr>
      </w:pPr>
      <w:bookmarkStart w:id="0" w:name="_GoBack"/>
      <w:r>
        <w:rPr>
          <w:rFonts w:ascii="楷体_GB2312" w:eastAsia="楷体_GB2312"/>
          <w:sz w:val="32"/>
          <w:szCs w:val="32"/>
        </w:rPr>
        <w:t>（202</w:t>
      </w:r>
      <w:r>
        <w:rPr>
          <w:rFonts w:hint="eastAsia" w:ascii="楷体_GB2312" w:eastAsia="楷体_GB2312"/>
          <w:sz w:val="32"/>
          <w:szCs w:val="32"/>
        </w:rPr>
        <w:t>3</w:t>
      </w:r>
      <w:r>
        <w:rPr>
          <w:rFonts w:ascii="楷体_GB2312" w:eastAsia="楷体_GB2312"/>
          <w:sz w:val="32"/>
          <w:szCs w:val="32"/>
        </w:rPr>
        <w:t>年</w:t>
      </w:r>
      <w:r>
        <w:rPr>
          <w:rFonts w:hint="eastAsia" w:ascii="楷体_GB2312" w:eastAsia="楷体_GB2312"/>
          <w:sz w:val="32"/>
          <w:szCs w:val="32"/>
        </w:rPr>
        <w:t>2</w:t>
      </w:r>
      <w:r>
        <w:rPr>
          <w:rFonts w:ascii="楷体_GB2312" w:eastAsia="楷体_GB2312"/>
          <w:sz w:val="32"/>
          <w:szCs w:val="32"/>
        </w:rPr>
        <w:t>月</w:t>
      </w:r>
      <w:r>
        <w:rPr>
          <w:rFonts w:hint="eastAsia" w:ascii="楷体_GB2312" w:eastAsia="楷体_GB2312"/>
          <w:sz w:val="32"/>
          <w:szCs w:val="32"/>
        </w:rPr>
        <w:t>28</w:t>
      </w:r>
      <w:r>
        <w:rPr>
          <w:rFonts w:ascii="楷体_GB2312" w:eastAsia="楷体_GB2312"/>
          <w:sz w:val="32"/>
          <w:szCs w:val="32"/>
        </w:rPr>
        <w:t>日</w:t>
      </w:r>
      <w:r>
        <w:rPr>
          <w:rFonts w:hint="eastAsia" w:ascii="楷体_GB2312" w:eastAsia="楷体_GB2312"/>
          <w:sz w:val="32"/>
          <w:szCs w:val="32"/>
        </w:rPr>
        <w:t>德阳</w:t>
      </w:r>
      <w:r>
        <w:rPr>
          <w:rFonts w:ascii="楷体_GB2312" w:eastAsia="楷体_GB2312"/>
          <w:sz w:val="32"/>
          <w:szCs w:val="32"/>
        </w:rPr>
        <w:t>市第</w:t>
      </w:r>
      <w:r>
        <w:rPr>
          <w:rFonts w:hint="eastAsia" w:ascii="楷体_GB2312" w:eastAsia="楷体_GB2312"/>
          <w:sz w:val="32"/>
          <w:szCs w:val="32"/>
        </w:rPr>
        <w:t>九</w:t>
      </w:r>
      <w:r>
        <w:rPr>
          <w:rFonts w:ascii="楷体_GB2312" w:eastAsia="楷体_GB2312"/>
          <w:sz w:val="32"/>
          <w:szCs w:val="32"/>
        </w:rPr>
        <w:t>届人民代表大会常务委员会第</w:t>
      </w:r>
      <w:r>
        <w:rPr>
          <w:rFonts w:hint="eastAsia" w:ascii="楷体_GB2312" w:eastAsia="楷体_GB2312"/>
          <w:sz w:val="32"/>
          <w:szCs w:val="32"/>
        </w:rPr>
        <w:t>十一</w:t>
      </w:r>
      <w:r>
        <w:rPr>
          <w:rFonts w:ascii="楷体_GB2312" w:eastAsia="楷体_GB2312"/>
          <w:sz w:val="32"/>
          <w:szCs w:val="32"/>
        </w:rPr>
        <w:t>次会议通过</w:t>
      </w:r>
      <w:r>
        <w:rPr>
          <w:rFonts w:hint="eastAsia" w:ascii="楷体_GB2312" w:eastAsia="楷体_GB2312"/>
          <w:sz w:val="32"/>
          <w:szCs w:val="32"/>
        </w:rPr>
        <w:t xml:space="preserve">  2023年3月30日四川省第十四届人民代表大会常务委员会第二次会议批准</w:t>
      </w:r>
      <w:r>
        <w:rPr>
          <w:rFonts w:ascii="楷体_GB2312" w:eastAsia="楷体_GB2312"/>
          <w:sz w:val="32"/>
          <w:szCs w:val="32"/>
        </w:rPr>
        <w:t>）</w:t>
      </w:r>
    </w:p>
    <w:bookmarkEnd w:id="0"/>
    <w:p>
      <w:pPr>
        <w:spacing w:line="580" w:lineRule="exact"/>
        <w:ind w:left="630" w:leftChars="300" w:right="630" w:rightChars="300"/>
        <w:jc w:val="both"/>
        <w:rPr>
          <w:rFonts w:ascii="楷体_GB2312" w:eastAsia="楷体_GB2312"/>
          <w:sz w:val="32"/>
          <w:szCs w:val="32"/>
        </w:rPr>
      </w:pPr>
    </w:p>
    <w:p>
      <w:pPr>
        <w:spacing w:line="580" w:lineRule="exact"/>
        <w:ind w:left="630" w:leftChars="300" w:right="630" w:rightChars="300"/>
        <w:jc w:val="center"/>
        <w:rPr>
          <w:rFonts w:eastAsia="楷体_GB2312"/>
          <w:sz w:val="32"/>
          <w:szCs w:val="32"/>
        </w:rPr>
      </w:pPr>
      <w:r>
        <w:rPr>
          <w:rFonts w:hint="eastAsia" w:eastAsia="楷体_GB2312"/>
          <w:sz w:val="32"/>
          <w:szCs w:val="32"/>
        </w:rPr>
        <w:t>目  录</w:t>
      </w:r>
    </w:p>
    <w:p>
      <w:pPr>
        <w:spacing w:line="580" w:lineRule="exact"/>
        <w:ind w:left="630" w:leftChars="300" w:right="630" w:rightChars="300"/>
        <w:jc w:val="left"/>
        <w:rPr>
          <w:rFonts w:eastAsia="楷体_GB2312"/>
          <w:sz w:val="32"/>
          <w:szCs w:val="32"/>
        </w:rPr>
      </w:pPr>
      <w:r>
        <w:rPr>
          <w:rFonts w:hint="eastAsia" w:eastAsia="楷体_GB2312"/>
          <w:sz w:val="32"/>
          <w:szCs w:val="32"/>
        </w:rPr>
        <w:t>第一章  总则</w:t>
      </w:r>
    </w:p>
    <w:p>
      <w:pPr>
        <w:spacing w:line="580" w:lineRule="exact"/>
        <w:ind w:left="630" w:leftChars="300" w:right="630" w:rightChars="300"/>
        <w:jc w:val="left"/>
        <w:rPr>
          <w:rFonts w:eastAsia="楷体_GB2312"/>
          <w:sz w:val="32"/>
          <w:szCs w:val="32"/>
        </w:rPr>
      </w:pPr>
      <w:r>
        <w:rPr>
          <w:rFonts w:hint="eastAsia" w:eastAsia="楷体_GB2312"/>
          <w:sz w:val="32"/>
          <w:szCs w:val="32"/>
        </w:rPr>
        <w:t>第二章  规划与建设</w:t>
      </w:r>
    </w:p>
    <w:p>
      <w:pPr>
        <w:spacing w:line="580" w:lineRule="exact"/>
        <w:ind w:left="630" w:leftChars="300" w:right="630" w:rightChars="300"/>
        <w:jc w:val="left"/>
        <w:rPr>
          <w:rFonts w:eastAsia="楷体_GB2312"/>
          <w:sz w:val="32"/>
          <w:szCs w:val="32"/>
        </w:rPr>
      </w:pPr>
      <w:r>
        <w:rPr>
          <w:rFonts w:hint="eastAsia" w:eastAsia="楷体_GB2312"/>
          <w:sz w:val="32"/>
          <w:szCs w:val="32"/>
        </w:rPr>
        <w:t>第三章  运行与维护</w:t>
      </w:r>
    </w:p>
    <w:p>
      <w:pPr>
        <w:spacing w:line="580" w:lineRule="exact"/>
        <w:ind w:left="630" w:leftChars="300" w:right="630" w:rightChars="300"/>
        <w:jc w:val="left"/>
        <w:rPr>
          <w:rFonts w:eastAsia="楷体_GB2312"/>
          <w:sz w:val="32"/>
          <w:szCs w:val="32"/>
        </w:rPr>
      </w:pPr>
      <w:r>
        <w:rPr>
          <w:rFonts w:hint="eastAsia" w:eastAsia="楷体_GB2312"/>
          <w:sz w:val="32"/>
          <w:szCs w:val="32"/>
        </w:rPr>
        <w:t>第四章  保障与监督</w:t>
      </w:r>
    </w:p>
    <w:p>
      <w:pPr>
        <w:spacing w:line="580" w:lineRule="exact"/>
        <w:ind w:left="630" w:leftChars="300" w:right="630" w:rightChars="300"/>
        <w:jc w:val="left"/>
        <w:rPr>
          <w:rFonts w:eastAsia="楷体_GB2312"/>
          <w:sz w:val="32"/>
          <w:szCs w:val="32"/>
        </w:rPr>
      </w:pPr>
      <w:r>
        <w:rPr>
          <w:rFonts w:hint="eastAsia" w:eastAsia="楷体_GB2312"/>
          <w:sz w:val="32"/>
          <w:szCs w:val="32"/>
        </w:rPr>
        <w:t>第五章  法律责任</w:t>
      </w:r>
    </w:p>
    <w:p>
      <w:pPr>
        <w:spacing w:line="580" w:lineRule="exact"/>
        <w:ind w:left="630" w:leftChars="300" w:right="630" w:rightChars="300"/>
        <w:jc w:val="left"/>
        <w:rPr>
          <w:rFonts w:eastAsia="楷体_GB2312"/>
          <w:sz w:val="32"/>
          <w:szCs w:val="32"/>
        </w:rPr>
      </w:pPr>
      <w:r>
        <w:rPr>
          <w:rFonts w:hint="eastAsia" w:eastAsia="楷体_GB2312"/>
          <w:sz w:val="32"/>
          <w:szCs w:val="32"/>
        </w:rPr>
        <w:t>第六章  附则</w:t>
      </w:r>
    </w:p>
    <w:p>
      <w:pPr>
        <w:suppressAutoHyphens/>
        <w:spacing w:line="580" w:lineRule="exact"/>
        <w:jc w:val="left"/>
        <w:rPr>
          <w:rFonts w:eastAsia="楷体_GB2312"/>
          <w:sz w:val="32"/>
          <w:szCs w:val="32"/>
        </w:rPr>
      </w:pPr>
    </w:p>
    <w:p>
      <w:pPr>
        <w:suppressAutoHyphens/>
        <w:spacing w:line="580" w:lineRule="exact"/>
        <w:jc w:val="center"/>
        <w:rPr>
          <w:rFonts w:ascii="黑体" w:hAnsi="黑体" w:eastAsia="黑体"/>
          <w:sz w:val="32"/>
          <w:szCs w:val="32"/>
        </w:rPr>
      </w:pPr>
      <w:r>
        <w:rPr>
          <w:rFonts w:hint="eastAsia" w:ascii="黑体" w:hAnsi="黑体" w:eastAsia="黑体"/>
          <w:sz w:val="32"/>
          <w:szCs w:val="32"/>
        </w:rPr>
        <w:t>第一章  总则</w:t>
      </w:r>
    </w:p>
    <w:p>
      <w:pPr>
        <w:suppressAutoHyphens/>
        <w:spacing w:line="580" w:lineRule="exact"/>
        <w:jc w:val="center"/>
        <w:rPr>
          <w:rFonts w:ascii="黑体" w:hAnsi="黑体" w:eastAsia="黑体"/>
          <w:sz w:val="32"/>
          <w:szCs w:val="32"/>
        </w:rPr>
      </w:pPr>
    </w:p>
    <w:p>
      <w:pPr>
        <w:suppressAutoHyphens/>
        <w:spacing w:line="580" w:lineRule="exact"/>
        <w:ind w:firstLine="640" w:firstLineChars="200"/>
        <w:rPr>
          <w:rFonts w:ascii="黑体" w:hAnsi="黑体" w:eastAsia="黑体"/>
          <w:sz w:val="32"/>
          <w:szCs w:val="32"/>
        </w:rPr>
      </w:pPr>
      <w:r>
        <w:rPr>
          <w:rFonts w:hint="eastAsia" w:ascii="黑体" w:hAnsi="黑体" w:eastAsia="黑体"/>
          <w:sz w:val="32"/>
          <w:szCs w:val="32"/>
        </w:rPr>
        <w:t xml:space="preserve">第一条  </w:t>
      </w:r>
      <w:r>
        <w:rPr>
          <w:rFonts w:hint="eastAsia" w:ascii="仿宋_GB2312" w:hAnsi="黑体" w:eastAsia="仿宋_GB2312"/>
          <w:sz w:val="32"/>
          <w:szCs w:val="32"/>
        </w:rPr>
        <w:t>为了规范海绵城市建设管理，涵养城市水资源，增强城市防洪排涝减灾能力，保护和改善城市生态环境，根据有关法律法规，结合德阳市实际，制定本条例。</w:t>
      </w:r>
    </w:p>
    <w:p>
      <w:pPr>
        <w:suppressAutoHyphens/>
        <w:spacing w:line="580" w:lineRule="exact"/>
        <w:ind w:firstLine="640" w:firstLineChars="200"/>
        <w:rPr>
          <w:rFonts w:ascii="黑体" w:hAnsi="黑体" w:eastAsia="黑体"/>
          <w:sz w:val="32"/>
          <w:szCs w:val="32"/>
        </w:rPr>
      </w:pPr>
      <w:r>
        <w:rPr>
          <w:rFonts w:hint="eastAsia" w:ascii="黑体" w:hAnsi="黑体" w:eastAsia="黑体"/>
          <w:sz w:val="32"/>
          <w:szCs w:val="32"/>
        </w:rPr>
        <w:t xml:space="preserve">第二条  </w:t>
      </w:r>
      <w:r>
        <w:rPr>
          <w:rFonts w:hint="eastAsia" w:ascii="仿宋_GB2312" w:hAnsi="黑体" w:eastAsia="仿宋_GB2312"/>
          <w:sz w:val="32"/>
          <w:szCs w:val="32"/>
        </w:rPr>
        <w:t>本条例适用于市和区（市、县）城市规划区内海绵城市规划建设、运行维护、保障监督等活动。</w:t>
      </w:r>
    </w:p>
    <w:p>
      <w:pPr>
        <w:suppressAutoHyphens/>
        <w:spacing w:line="580" w:lineRule="exact"/>
        <w:ind w:firstLine="640" w:firstLineChars="200"/>
        <w:rPr>
          <w:rFonts w:ascii="黑体" w:hAnsi="黑体" w:eastAsia="黑体"/>
          <w:sz w:val="32"/>
          <w:szCs w:val="32"/>
        </w:rPr>
      </w:pPr>
      <w:r>
        <w:rPr>
          <w:rFonts w:hint="eastAsia" w:ascii="黑体" w:hAnsi="黑体" w:eastAsia="黑体"/>
          <w:sz w:val="32"/>
          <w:szCs w:val="32"/>
        </w:rPr>
        <w:t xml:space="preserve">第三条  </w:t>
      </w:r>
      <w:r>
        <w:rPr>
          <w:rFonts w:hint="eastAsia" w:ascii="仿宋_GB2312" w:hAnsi="黑体" w:eastAsia="仿宋_GB2312"/>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suppressAutoHyphens/>
        <w:spacing w:line="580" w:lineRule="exact"/>
        <w:ind w:firstLine="640" w:firstLineChars="200"/>
        <w:rPr>
          <w:rFonts w:ascii="黑体" w:hAnsi="黑体" w:eastAsia="黑体"/>
          <w:sz w:val="32"/>
          <w:szCs w:val="32"/>
        </w:rPr>
      </w:pPr>
      <w:r>
        <w:rPr>
          <w:rFonts w:hint="eastAsia" w:ascii="黑体" w:hAnsi="黑体" w:eastAsia="黑体"/>
          <w:sz w:val="32"/>
          <w:szCs w:val="32"/>
        </w:rPr>
        <w:t xml:space="preserve">第四条  </w:t>
      </w:r>
      <w:r>
        <w:rPr>
          <w:rFonts w:hint="eastAsia" w:ascii="仿宋_GB2312" w:hAnsi="黑体" w:eastAsia="仿宋_GB2312"/>
          <w:sz w:val="32"/>
          <w:szCs w:val="32"/>
        </w:rPr>
        <w:t>海绵城市建设管理应当遵循生态优先、规划引领、因地制宜、统筹推进、政府引导、社会参与的原则。</w:t>
      </w:r>
    </w:p>
    <w:p>
      <w:pPr>
        <w:suppressAutoHyphens/>
        <w:spacing w:line="580" w:lineRule="exact"/>
        <w:ind w:firstLine="640" w:firstLineChars="200"/>
        <w:rPr>
          <w:rFonts w:ascii="黑体" w:hAnsi="黑体" w:eastAsia="黑体"/>
          <w:sz w:val="32"/>
          <w:szCs w:val="32"/>
        </w:rPr>
      </w:pPr>
      <w:r>
        <w:rPr>
          <w:rFonts w:hint="eastAsia" w:ascii="黑体" w:hAnsi="黑体" w:eastAsia="黑体"/>
          <w:sz w:val="32"/>
          <w:szCs w:val="32"/>
        </w:rPr>
        <w:t xml:space="preserve">第五条  </w:t>
      </w:r>
      <w:r>
        <w:rPr>
          <w:rFonts w:hint="eastAsia" w:ascii="仿宋_GB2312" w:hAnsi="黑体" w:eastAsia="仿宋_GB2312"/>
          <w:sz w:val="32"/>
          <w:szCs w:val="32"/>
        </w:rPr>
        <w:t>市和区（市、县）人民政府应当将海绵城市建设管理工作纳入国民经济和社会发展规划，加强组织领导和统筹实施，建立健全工作推进机制，协调解决重大问题。</w:t>
      </w:r>
    </w:p>
    <w:p>
      <w:pPr>
        <w:suppressAutoHyphens/>
        <w:spacing w:line="580" w:lineRule="exact"/>
        <w:ind w:firstLine="640" w:firstLineChars="200"/>
        <w:rPr>
          <w:rFonts w:ascii="黑体" w:hAnsi="黑体" w:eastAsia="黑体"/>
          <w:sz w:val="32"/>
          <w:szCs w:val="32"/>
        </w:rPr>
      </w:pPr>
      <w:r>
        <w:rPr>
          <w:rFonts w:hint="eastAsia" w:ascii="黑体" w:hAnsi="黑体" w:eastAsia="黑体"/>
          <w:sz w:val="32"/>
          <w:szCs w:val="32"/>
        </w:rPr>
        <w:t xml:space="preserve">第六条  </w:t>
      </w:r>
      <w:r>
        <w:rPr>
          <w:rFonts w:hint="eastAsia" w:ascii="仿宋_GB2312" w:hAnsi="黑体" w:eastAsia="仿宋_GB2312"/>
          <w:sz w:val="32"/>
          <w:szCs w:val="32"/>
        </w:rPr>
        <w:t>市和区（市、县）住房城乡建设主管部门负责海绵城市建设专项规划编制实施、年度目标任务制定、综合协调、技术指导、监督检查等工作。</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发展和改革、财政、自然资源和规划、生态环境、城市管理、交通运输、水利、气象等部门按照各自职责和本条例规定，共同做好海绵城市建设管理相关工作。</w:t>
      </w:r>
    </w:p>
    <w:p>
      <w:pPr>
        <w:suppressAutoHyphens/>
        <w:spacing w:line="580" w:lineRule="exact"/>
        <w:ind w:firstLine="640" w:firstLineChars="200"/>
        <w:rPr>
          <w:rFonts w:ascii="黑体" w:hAnsi="黑体" w:eastAsia="黑体"/>
          <w:sz w:val="32"/>
          <w:szCs w:val="32"/>
        </w:rPr>
      </w:pPr>
      <w:r>
        <w:rPr>
          <w:rFonts w:hint="eastAsia" w:ascii="黑体" w:hAnsi="黑体" w:eastAsia="黑体"/>
          <w:sz w:val="32"/>
          <w:szCs w:val="32"/>
        </w:rPr>
        <w:t xml:space="preserve">第七条  </w:t>
      </w:r>
      <w:r>
        <w:rPr>
          <w:rFonts w:hint="eastAsia" w:ascii="仿宋_GB2312" w:hAnsi="黑体" w:eastAsia="仿宋_GB2312"/>
          <w:sz w:val="32"/>
          <w:szCs w:val="32"/>
        </w:rPr>
        <w:t>市和区（市、县）人民政府及其相关部门、新闻媒体等，应当开展海绵城市建设宣传，普及海绵城市建设的相关知识，引导全民参与海绵城市建设。</w:t>
      </w:r>
    </w:p>
    <w:p>
      <w:pPr>
        <w:suppressAutoHyphens/>
        <w:spacing w:line="580" w:lineRule="exact"/>
        <w:ind w:firstLine="640" w:firstLineChars="200"/>
        <w:rPr>
          <w:rFonts w:ascii="仿宋_GB2312" w:hAnsi="黑体" w:eastAsia="仿宋_GB2312"/>
          <w:sz w:val="32"/>
          <w:szCs w:val="32"/>
        </w:rPr>
      </w:pPr>
    </w:p>
    <w:p>
      <w:pPr>
        <w:suppressAutoHyphens/>
        <w:spacing w:line="580" w:lineRule="exact"/>
        <w:jc w:val="center"/>
        <w:rPr>
          <w:rFonts w:ascii="黑体" w:hAnsi="黑体" w:eastAsia="黑体"/>
          <w:sz w:val="32"/>
          <w:szCs w:val="32"/>
        </w:rPr>
      </w:pPr>
      <w:r>
        <w:rPr>
          <w:rFonts w:hint="eastAsia" w:ascii="黑体" w:hAnsi="黑体" w:eastAsia="黑体"/>
          <w:sz w:val="32"/>
          <w:szCs w:val="32"/>
        </w:rPr>
        <w:t>第二章  规划与建设</w:t>
      </w:r>
    </w:p>
    <w:p>
      <w:pPr>
        <w:suppressAutoHyphens/>
        <w:spacing w:line="580" w:lineRule="exact"/>
        <w:jc w:val="center"/>
        <w:rPr>
          <w:rFonts w:ascii="黑体" w:hAnsi="黑体" w:eastAsia="黑体"/>
          <w:sz w:val="32"/>
          <w:szCs w:val="32"/>
        </w:rPr>
      </w:pP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 xml:space="preserve">第八条  </w:t>
      </w:r>
      <w:r>
        <w:rPr>
          <w:rFonts w:hint="eastAsia" w:ascii="仿宋_GB2312" w:hAnsi="黑体" w:eastAsia="仿宋_GB2312"/>
          <w:sz w:val="32"/>
          <w:szCs w:val="32"/>
        </w:rPr>
        <w:t>住房城乡建设主管部门应当会同自然资源和规划、城市管理、水利、气象等部门，依据国土空间总体规划，组织编制海绵城市建设专项规划，报同级人民政府批准后实施。</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编制海绵城市建设专项规划，应当广泛听取有关专家和社会公众的意见。</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海绵城市建设专项规划应当严格执行，不得擅自调整；确需调整的，应当依法按程序报批。</w:t>
      </w: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第九条</w:t>
      </w:r>
      <w:r>
        <w:rPr>
          <w:rFonts w:hint="eastAsia" w:ascii="仿宋_GB2312" w:hAnsi="黑体" w:eastAsia="仿宋_GB2312"/>
          <w:sz w:val="32"/>
          <w:szCs w:val="32"/>
        </w:rPr>
        <w:t xml:space="preserve">  编制国土空间详细规划以及道路、绿地、排水防涝等相关专项规划，应当明确雨水年径流总量控制率等海绵城市建设主要指标，加强海绵城市建设专项规划与国土空间详细规划、其他相关专项规划的衔接协调。</w:t>
      </w: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第十条</w:t>
      </w:r>
      <w:r>
        <w:rPr>
          <w:rFonts w:hint="eastAsia" w:ascii="仿宋_GB2312" w:hAnsi="黑体" w:eastAsia="仿宋_GB2312"/>
          <w:sz w:val="32"/>
          <w:szCs w:val="32"/>
        </w:rPr>
        <w:t xml:space="preserve">  城市新建区域应当全面落实海绵城市建设理念，优先保护生态本底，合理控制开发强度，科学配套建设海绵城市设施。</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已建区域的海绵城市建设，应当结合城市更新、老旧小区改造、地下排水管网整治、污水处理设施改造、水环境综合治理、内涝防治、园林绿化等建设工程，统一规划、分步实施，重点解决城市内涝、雨污混流、黑臭水体、非常规水资源利用率低、水资源短缺等问题。</w:t>
      </w: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第十一条</w:t>
      </w:r>
      <w:r>
        <w:rPr>
          <w:rFonts w:hint="eastAsia" w:ascii="仿宋_GB2312" w:hAnsi="黑体" w:eastAsia="仿宋_GB2312"/>
          <w:sz w:val="32"/>
          <w:szCs w:val="32"/>
        </w:rPr>
        <w:t xml:space="preserve">  政府投资建设项目的可行性研究报告、初步设计应当明确海绵城市建设相关要求和内容。</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社会投资建设项目的项目申请报告应当包括海绵城市设施建设相关要求和内容。</w:t>
      </w: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第十二条</w:t>
      </w:r>
      <w:r>
        <w:rPr>
          <w:rFonts w:hint="eastAsia" w:ascii="仿宋_GB2312" w:hAnsi="黑体" w:eastAsia="仿宋_GB2312"/>
          <w:sz w:val="32"/>
          <w:szCs w:val="32"/>
        </w:rPr>
        <w:t xml:space="preserve">  自然资源和规划部门在供应城市建设用地时，应当依据国土空间详细规划，将海绵城市建设主要指标纳入规划条件。</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对于不需办理选址、土地划拨或者土地出让的改造提升类项目，应当明确海绵城市建设相关要求。</w:t>
      </w: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第十三条</w:t>
      </w:r>
      <w:r>
        <w:rPr>
          <w:rFonts w:hint="eastAsia" w:ascii="仿宋_GB2312" w:hAnsi="黑体" w:eastAsia="仿宋_GB2312"/>
          <w:sz w:val="32"/>
          <w:szCs w:val="32"/>
        </w:rPr>
        <w:t xml:space="preserve">  海绵城市设施应当与建设项目主体工程同步规划、同步设计、同步施工、同步竣工验收、同步投入使用。</w:t>
      </w: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第十四条</w:t>
      </w:r>
      <w:r>
        <w:rPr>
          <w:rFonts w:hint="eastAsia" w:ascii="仿宋_GB2312" w:hAnsi="黑体" w:eastAsia="仿宋_GB2312"/>
          <w:sz w:val="32"/>
          <w:szCs w:val="32"/>
        </w:rPr>
        <w:t xml:space="preserve">  建设单位编制项目建议书、可行性研究报告和招标文件时，应当明确海绵城市建设相关要求和内容，并按照海绵城市规划设计要求和技术规范，科学合理统筹建设。</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设计单位应当按照海绵城市规划设计要求和技术规范，开展规划方案设计、初步设计和施工图设计。</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施工图设计文件审查机构应当按照海绵城市规划设计要求和技术规范，对施工图设计文件进行审查。</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施工单位应当按照海绵城市规划设计要求和技术规范、建设项目设计文件进行施工，对建设工程的施工质量负责。</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监理单位应当按照海绵城市规划设计要求和技术规范、设计文件等实施监理，对施工质量承担监理责任。</w:t>
      </w: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第十五条</w:t>
      </w:r>
      <w:r>
        <w:rPr>
          <w:rFonts w:hint="eastAsia" w:ascii="仿宋_GB2312" w:hAnsi="黑体" w:eastAsia="仿宋_GB2312"/>
          <w:sz w:val="32"/>
          <w:szCs w:val="32"/>
        </w:rPr>
        <w:t xml:space="preserve">  建设工程竣工验收时，建设单位应当组织设计、施工、工程监理等有关单位，对工程中涉及海绵城市设施建设进行分项验收，在竣工验收报告中载明，并纳入项目竣工验收备案。</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相关职能部门在出具联合验收意见书或者质量监督报告时，应当载明海绵城市建设相关内容的落实情况。</w:t>
      </w: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第十六条</w:t>
      </w:r>
      <w:r>
        <w:rPr>
          <w:rFonts w:hint="eastAsia" w:ascii="仿宋_GB2312" w:hAnsi="黑体" w:eastAsia="仿宋_GB2312"/>
          <w:sz w:val="32"/>
          <w:szCs w:val="32"/>
        </w:rPr>
        <w:t xml:space="preserve">  建设工程项目应当按照下列规定配套海绵城市设施：</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（一）建筑与小区建设应当因地制宜采取屋顶绿化、雨水调蓄与收集利用等措施，提高建筑与小区的雨水积存和蓄滞能力；</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（二）道路与广场建设应当改变雨水快排、直排方式，增强道路绿化带对雨水的消纳功能，在非机动车道、人行道、停车场、广场等使用透水铺装，推行道路与广场雨水的收集、净化和利用；</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（三）公园和绿地建设应当采取雨水花园、下沉式绿地、人工湿地、植被缓冲带、雨水塘、生态堤岸等低影响开发措施，增强公园和绿地系统的城市海绵体功能，消纳自身雨水，并为蓄滞周边区域雨水提供空间；</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（四）城市排水防涝设施建设应当改造和消除城市易涝点，实施雨污分流，控制初期雨水污染，排入自然水体的雨水应当经过岸线净化，沿岸截流干管建设和改造应当控制渗漏和污水溢流；</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五）城市坑塘、河湖、湿地等水体整治应当注重恢复和保护水系的自然连通，改造河道，培育水生植物，恢复河流的自我净化、自我修复功能，开展河床、护坡整治作业时，应当采用促进水生态修复的技术措施改善水环境质量。</w:t>
      </w:r>
    </w:p>
    <w:p>
      <w:pPr>
        <w:suppressAutoHyphens/>
        <w:spacing w:line="580" w:lineRule="exact"/>
        <w:jc w:val="center"/>
        <w:rPr>
          <w:rFonts w:ascii="黑体" w:hAnsi="黑体" w:eastAsia="黑体"/>
          <w:sz w:val="32"/>
          <w:szCs w:val="32"/>
        </w:rPr>
      </w:pPr>
    </w:p>
    <w:p>
      <w:pPr>
        <w:suppressAutoHyphens/>
        <w:spacing w:line="580" w:lineRule="exact"/>
        <w:jc w:val="center"/>
        <w:rPr>
          <w:rFonts w:ascii="黑体" w:hAnsi="黑体" w:eastAsia="黑体"/>
          <w:sz w:val="32"/>
          <w:szCs w:val="32"/>
        </w:rPr>
      </w:pPr>
      <w:r>
        <w:rPr>
          <w:rFonts w:hint="eastAsia" w:ascii="黑体" w:hAnsi="黑体" w:eastAsia="黑体"/>
          <w:sz w:val="32"/>
          <w:szCs w:val="32"/>
        </w:rPr>
        <w:t>第三章  运行与维护</w:t>
      </w:r>
    </w:p>
    <w:p>
      <w:pPr>
        <w:suppressAutoHyphens/>
        <w:spacing w:line="580" w:lineRule="exact"/>
        <w:jc w:val="center"/>
        <w:rPr>
          <w:rFonts w:ascii="黑体" w:hAnsi="黑体" w:eastAsia="黑体"/>
          <w:sz w:val="32"/>
          <w:szCs w:val="32"/>
        </w:rPr>
      </w:pP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 xml:space="preserve">第十七条  </w:t>
      </w:r>
      <w:r>
        <w:rPr>
          <w:rFonts w:hint="eastAsia" w:ascii="仿宋_GB2312" w:hAnsi="黑体" w:eastAsia="仿宋_GB2312"/>
          <w:sz w:val="32"/>
          <w:szCs w:val="32"/>
        </w:rPr>
        <w:t>本市实行海绵城市设施运行维护责任制度。</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海绵城市设施运行维护责任人依照法律法规规定或者合同约定确定；运行维护责任人不明确的，按照“谁使用、谁维护”的原则确定。</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海绵城市设施运行维护责任人应当建立管理制度和操作规程，配备管理人员，开展定期巡查、养护和维修，确保海绵城市设施正常运行。</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海绵城市设施运行维护的具体管理办法由市人民政府另行制定。</w:t>
      </w: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第十八条</w:t>
      </w:r>
      <w:r>
        <w:rPr>
          <w:rFonts w:hint="eastAsia" w:ascii="仿宋_GB2312" w:hAnsi="黑体" w:eastAsia="仿宋_GB2312"/>
          <w:sz w:val="32"/>
          <w:szCs w:val="32"/>
        </w:rPr>
        <w:t xml:space="preserve">  单位和个人应当正确使用和保护海绵城市设施。确需挖掘、拆除、改动、占用海绵城市设施的，建设单位应当征得所有权人或者运行维护责任人同意，依法履行相关手续，并在建设完成后恢复海绵城市设施功能。</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对破坏、毁损海绵城市设施的行为，单位和个人有权向“12345”政务服务便民热线或者相关行业主管部门举报、投诉。</w:t>
      </w:r>
    </w:p>
    <w:p>
      <w:pPr>
        <w:suppressAutoHyphens/>
        <w:spacing w:line="580" w:lineRule="exact"/>
        <w:jc w:val="center"/>
        <w:rPr>
          <w:rFonts w:ascii="黑体" w:hAnsi="黑体" w:eastAsia="黑体"/>
          <w:sz w:val="32"/>
          <w:szCs w:val="32"/>
        </w:rPr>
      </w:pPr>
    </w:p>
    <w:p>
      <w:pPr>
        <w:suppressAutoHyphens/>
        <w:spacing w:line="580" w:lineRule="exact"/>
        <w:jc w:val="center"/>
        <w:rPr>
          <w:rFonts w:ascii="黑体" w:hAnsi="黑体" w:eastAsia="黑体"/>
          <w:sz w:val="32"/>
          <w:szCs w:val="32"/>
        </w:rPr>
      </w:pPr>
      <w:r>
        <w:rPr>
          <w:rFonts w:hint="eastAsia" w:ascii="黑体" w:hAnsi="黑体" w:eastAsia="黑体"/>
          <w:sz w:val="32"/>
          <w:szCs w:val="32"/>
        </w:rPr>
        <w:t>第四章  保障与监督</w:t>
      </w:r>
    </w:p>
    <w:p>
      <w:pPr>
        <w:suppressAutoHyphens/>
        <w:spacing w:line="580" w:lineRule="exact"/>
        <w:ind w:firstLine="640" w:firstLineChars="200"/>
        <w:rPr>
          <w:rFonts w:ascii="黑体" w:hAnsi="黑体" w:eastAsia="黑体"/>
          <w:sz w:val="32"/>
          <w:szCs w:val="32"/>
        </w:rPr>
      </w:pPr>
    </w:p>
    <w:p>
      <w:pPr>
        <w:suppressAutoHyphens/>
        <w:spacing w:line="580" w:lineRule="exact"/>
        <w:ind w:firstLine="640" w:firstLineChars="200"/>
        <w:jc w:val="left"/>
        <w:rPr>
          <w:rFonts w:ascii="仿宋_GB2312" w:hAnsi="黑体" w:eastAsia="仿宋_GB2312"/>
          <w:sz w:val="32"/>
          <w:szCs w:val="32"/>
        </w:rPr>
      </w:pPr>
      <w:r>
        <w:rPr>
          <w:rFonts w:hint="eastAsia" w:ascii="黑体" w:hAnsi="黑体" w:eastAsia="黑体"/>
          <w:sz w:val="32"/>
          <w:szCs w:val="32"/>
        </w:rPr>
        <w:t xml:space="preserve">第十九条  </w:t>
      </w:r>
      <w:r>
        <w:rPr>
          <w:rFonts w:hint="eastAsia" w:ascii="仿宋_GB2312" w:hAnsi="黑体" w:eastAsia="仿宋_GB2312"/>
          <w:sz w:val="32"/>
          <w:szCs w:val="32"/>
        </w:rPr>
        <w:t>市和区（市、县）人民政府应当将市政公用海绵城市设施建设及运行维护费用纳入本级财政预算。</w:t>
      </w:r>
    </w:p>
    <w:p>
      <w:pPr>
        <w:suppressAutoHyphens/>
        <w:spacing w:line="580" w:lineRule="exact"/>
        <w:ind w:firstLine="640" w:firstLineChars="200"/>
        <w:jc w:val="left"/>
        <w:rPr>
          <w:rFonts w:ascii="仿宋_GB2312" w:hAnsi="黑体" w:eastAsia="仿宋_GB2312"/>
          <w:sz w:val="32"/>
          <w:szCs w:val="32"/>
        </w:rPr>
      </w:pPr>
      <w:r>
        <w:rPr>
          <w:rFonts w:hint="eastAsia" w:ascii="黑体" w:hAnsi="黑体" w:eastAsia="黑体"/>
          <w:sz w:val="32"/>
          <w:szCs w:val="32"/>
        </w:rPr>
        <w:t xml:space="preserve">第二十条  </w:t>
      </w:r>
      <w:r>
        <w:rPr>
          <w:rFonts w:hint="eastAsia" w:ascii="仿宋_GB2312" w:hAnsi="黑体" w:eastAsia="仿宋_GB2312"/>
          <w:sz w:val="32"/>
          <w:szCs w:val="32"/>
        </w:rPr>
        <w:t>市和区（市、县）人民政府应当采取下列措施，支持和保障海绵城市建设管理：</w:t>
      </w:r>
    </w:p>
    <w:p>
      <w:pPr>
        <w:suppressAutoHyphens/>
        <w:spacing w:line="58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（一）加强专业人才队伍建设，开展行业培训、技术交流等活动；</w:t>
      </w:r>
    </w:p>
    <w:p>
      <w:pPr>
        <w:suppressAutoHyphens/>
        <w:spacing w:line="58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（二）开展科学技术研究和创新，推广新技术、新工艺、新材料、新设备；</w:t>
      </w:r>
    </w:p>
    <w:p>
      <w:pPr>
        <w:suppressAutoHyphens/>
        <w:spacing w:line="58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（三）采取政府购买服务、政府和社会资本合作、财政补贴、特许经营等多种形式，吸引社会资本参与非常规水资源利用等海绵城市设施投资建设和运营维护；</w:t>
      </w:r>
    </w:p>
    <w:p>
      <w:pPr>
        <w:suppressAutoHyphens/>
        <w:spacing w:line="58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（四）其他支持和保障海绵城市建设管理的措施。</w:t>
      </w:r>
    </w:p>
    <w:p>
      <w:pPr>
        <w:suppressAutoHyphens/>
        <w:spacing w:line="580" w:lineRule="exact"/>
        <w:ind w:firstLine="640" w:firstLineChars="200"/>
        <w:jc w:val="left"/>
        <w:rPr>
          <w:rFonts w:ascii="仿宋_GB2312" w:hAnsi="黑体" w:eastAsia="仿宋_GB2312"/>
          <w:sz w:val="32"/>
          <w:szCs w:val="32"/>
        </w:rPr>
      </w:pPr>
      <w:r>
        <w:rPr>
          <w:rFonts w:hint="eastAsia" w:ascii="黑体" w:hAnsi="黑体" w:eastAsia="黑体"/>
          <w:sz w:val="32"/>
          <w:szCs w:val="32"/>
        </w:rPr>
        <w:t xml:space="preserve">第二十一条  </w:t>
      </w:r>
      <w:r>
        <w:rPr>
          <w:rFonts w:hint="eastAsia" w:ascii="仿宋_GB2312" w:hAnsi="黑体" w:eastAsia="仿宋_GB2312"/>
          <w:sz w:val="32"/>
          <w:szCs w:val="32"/>
        </w:rPr>
        <w:t>住房城乡建设主管部门应当建立海绵城市信息管理系统，运用大数据等技术手段，实现信息互通共享，提升海绵城市建设管理水平。</w:t>
      </w:r>
    </w:p>
    <w:p>
      <w:pPr>
        <w:suppressAutoHyphens/>
        <w:spacing w:line="58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鼓励海绵城市设施运行维护责任人利用智能化手段进行监测，确保设施正常运行，并接入海绵城市信息管理系统。</w:t>
      </w:r>
    </w:p>
    <w:p>
      <w:pPr>
        <w:suppressAutoHyphens/>
        <w:spacing w:line="580" w:lineRule="exact"/>
        <w:ind w:firstLine="640" w:firstLineChars="200"/>
        <w:jc w:val="left"/>
        <w:rPr>
          <w:rFonts w:ascii="仿宋_GB2312" w:hAnsi="黑体" w:eastAsia="仿宋_GB2312"/>
          <w:sz w:val="32"/>
          <w:szCs w:val="32"/>
        </w:rPr>
      </w:pPr>
      <w:r>
        <w:rPr>
          <w:rFonts w:hint="eastAsia" w:ascii="黑体" w:hAnsi="黑体" w:eastAsia="黑体"/>
          <w:sz w:val="32"/>
          <w:szCs w:val="32"/>
        </w:rPr>
        <w:t xml:space="preserve">第二十二条  </w:t>
      </w:r>
      <w:r>
        <w:rPr>
          <w:rFonts w:hint="eastAsia" w:ascii="仿宋_GB2312" w:hAnsi="黑体" w:eastAsia="仿宋_GB2312"/>
          <w:sz w:val="32"/>
          <w:szCs w:val="32"/>
        </w:rPr>
        <w:t>住房城乡建设主管部门应当会同相关行业主管部门健全监督考核机制，加强日常监督检查，定期对海绵城市设施的运行维护效果进行评估，并依法向社会公布。</w:t>
      </w:r>
    </w:p>
    <w:p>
      <w:pPr>
        <w:suppressAutoHyphens/>
        <w:spacing w:line="580" w:lineRule="exact"/>
        <w:ind w:firstLine="640" w:firstLineChars="200"/>
        <w:jc w:val="left"/>
        <w:rPr>
          <w:rFonts w:ascii="仿宋_GB2312" w:hAnsi="黑体" w:eastAsia="仿宋_GB2312"/>
          <w:sz w:val="32"/>
          <w:szCs w:val="32"/>
        </w:rPr>
      </w:pPr>
      <w:r>
        <w:rPr>
          <w:rFonts w:hint="eastAsia" w:ascii="黑体" w:hAnsi="黑体" w:eastAsia="黑体"/>
          <w:sz w:val="32"/>
          <w:szCs w:val="32"/>
        </w:rPr>
        <w:t xml:space="preserve">第二十三条  </w:t>
      </w:r>
      <w:r>
        <w:rPr>
          <w:rFonts w:hint="eastAsia" w:ascii="仿宋_GB2312" w:hAnsi="黑体" w:eastAsia="仿宋_GB2312"/>
          <w:sz w:val="32"/>
          <w:szCs w:val="32"/>
        </w:rPr>
        <w:t>住房城乡建设、城市管理、交通运输、水利等相关部门应当将海绵城市建设内容纳入建设工程质量监督范围，并可以采取下列措施开展监督检查：</w:t>
      </w:r>
    </w:p>
    <w:p>
      <w:pPr>
        <w:suppressAutoHyphens/>
        <w:spacing w:line="58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（一）要求被检查单位提供有关海绵城市建设工程质量的文件和资料；</w:t>
      </w:r>
    </w:p>
    <w:p>
      <w:pPr>
        <w:suppressAutoHyphens/>
        <w:spacing w:line="58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（二）进入被检查单位施工现场进行检查；</w:t>
      </w:r>
    </w:p>
    <w:p>
      <w:pPr>
        <w:suppressAutoHyphens/>
        <w:spacing w:line="580" w:lineRule="exact"/>
        <w:ind w:firstLine="640" w:firstLineChars="200"/>
        <w:jc w:val="left"/>
        <w:rPr>
          <w:rFonts w:ascii="仿宋_GB2312" w:hAnsi="黑体" w:eastAsia="仿宋_GB2312"/>
          <w:sz w:val="32"/>
          <w:szCs w:val="32"/>
        </w:rPr>
      </w:pPr>
      <w:r>
        <w:rPr>
          <w:rFonts w:hint="eastAsia" w:ascii="仿宋_GB2312" w:hAnsi="黑体" w:eastAsia="仿宋_GB2312"/>
          <w:sz w:val="32"/>
          <w:szCs w:val="32"/>
        </w:rPr>
        <w:t>（三）发现有影响海绵城市设施建设工程质量的问题时，责令改正。</w:t>
      </w:r>
    </w:p>
    <w:p>
      <w:pPr>
        <w:suppressAutoHyphens/>
        <w:spacing w:line="580" w:lineRule="exact"/>
        <w:jc w:val="center"/>
        <w:rPr>
          <w:rFonts w:ascii="黑体" w:hAnsi="黑体" w:eastAsia="黑体"/>
          <w:sz w:val="32"/>
          <w:szCs w:val="32"/>
        </w:rPr>
      </w:pPr>
    </w:p>
    <w:p>
      <w:pPr>
        <w:suppressAutoHyphens/>
        <w:spacing w:line="580" w:lineRule="exact"/>
        <w:jc w:val="center"/>
        <w:rPr>
          <w:rFonts w:ascii="黑体" w:hAnsi="黑体" w:eastAsia="黑体"/>
          <w:sz w:val="32"/>
          <w:szCs w:val="32"/>
        </w:rPr>
      </w:pPr>
      <w:r>
        <w:rPr>
          <w:rFonts w:hint="eastAsia" w:ascii="黑体" w:hAnsi="黑体" w:eastAsia="黑体"/>
          <w:sz w:val="32"/>
          <w:szCs w:val="32"/>
        </w:rPr>
        <w:t>第五章  法律责任</w:t>
      </w:r>
    </w:p>
    <w:p>
      <w:pPr>
        <w:suppressAutoHyphens/>
        <w:spacing w:line="580" w:lineRule="exact"/>
        <w:ind w:firstLine="640" w:firstLineChars="200"/>
        <w:rPr>
          <w:rFonts w:ascii="仿宋_GB2312" w:hAnsi="黑体" w:eastAsia="仿宋_GB2312"/>
          <w:sz w:val="32"/>
          <w:szCs w:val="32"/>
        </w:rPr>
      </w:pP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 xml:space="preserve">第二十四条  </w:t>
      </w:r>
      <w:r>
        <w:rPr>
          <w:rFonts w:hint="eastAsia" w:ascii="仿宋_GB2312" w:hAnsi="黑体" w:eastAsia="仿宋_GB2312"/>
          <w:sz w:val="32"/>
          <w:szCs w:val="32"/>
        </w:rPr>
        <w:t>违反本条例规定的行为，法律法规已有法律责任规定的，从其规定。</w:t>
      </w: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第二十五条</w:t>
      </w:r>
      <w:r>
        <w:rPr>
          <w:rFonts w:hint="eastAsia" w:ascii="仿宋_GB2312" w:hAnsi="黑体" w:eastAsia="仿宋_GB2312"/>
          <w:sz w:val="32"/>
          <w:szCs w:val="32"/>
        </w:rPr>
        <w:t xml:space="preserve">  建设、设计、施工图审查、施工、监理、工程质量检测、运营维护等单位有违反本条例规定行为的，依照《中华人民共和国城乡规划法》《中华人民共和国建筑法》《中华人民共和国防洪法》和国务院《建设工程质量管理条例》等法律法规的规定追究法律责任，并由住房城乡建设主管部门依照国家规定记入建筑市场信用监管系统。</w:t>
      </w: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第二十六条</w:t>
      </w:r>
      <w:r>
        <w:rPr>
          <w:rFonts w:hint="eastAsia" w:ascii="仿宋_GB2312" w:hAnsi="黑体" w:eastAsia="仿宋_GB2312"/>
          <w:sz w:val="32"/>
          <w:szCs w:val="32"/>
        </w:rPr>
        <w:t xml:space="preserve">  国家机关及其工作人员违反本条例规定，不履行法定职责或者滥用职权、玩忽职守、徇私舞弊的，依照法律法规和国家有关规定追究责任，对直接负责的主管人员和其他直接责任人员依法给予处理。</w:t>
      </w:r>
    </w:p>
    <w:p>
      <w:pPr>
        <w:suppressAutoHyphens/>
        <w:spacing w:line="580" w:lineRule="exact"/>
        <w:jc w:val="center"/>
        <w:rPr>
          <w:rFonts w:ascii="黑体" w:hAnsi="黑体" w:eastAsia="黑体"/>
          <w:sz w:val="32"/>
          <w:szCs w:val="32"/>
        </w:rPr>
      </w:pPr>
    </w:p>
    <w:p>
      <w:pPr>
        <w:suppressAutoHyphens/>
        <w:spacing w:line="580" w:lineRule="exact"/>
        <w:jc w:val="center"/>
        <w:rPr>
          <w:rFonts w:ascii="黑体" w:hAnsi="黑体" w:eastAsia="黑体"/>
          <w:sz w:val="32"/>
          <w:szCs w:val="32"/>
        </w:rPr>
      </w:pPr>
      <w:r>
        <w:rPr>
          <w:rFonts w:hint="eastAsia" w:ascii="黑体" w:hAnsi="黑体" w:eastAsia="黑体"/>
          <w:sz w:val="32"/>
          <w:szCs w:val="32"/>
        </w:rPr>
        <w:t>第六章  附则</w:t>
      </w:r>
    </w:p>
    <w:p>
      <w:pPr>
        <w:suppressAutoHyphens/>
        <w:spacing w:line="580" w:lineRule="exact"/>
        <w:ind w:firstLine="640" w:firstLineChars="200"/>
        <w:rPr>
          <w:rFonts w:ascii="仿宋_GB2312" w:hAnsi="黑体" w:eastAsia="仿宋_GB2312"/>
          <w:sz w:val="32"/>
          <w:szCs w:val="32"/>
        </w:rPr>
      </w:pPr>
    </w:p>
    <w:p>
      <w:pPr>
        <w:suppressAutoHyphens/>
        <w:spacing w:line="580" w:lineRule="exact"/>
        <w:ind w:firstLine="640" w:firstLineChars="200"/>
        <w:rPr>
          <w:rFonts w:ascii="仿宋_GB2312" w:hAnsi="黑体" w:eastAsia="仿宋_GB2312"/>
          <w:sz w:val="32"/>
          <w:szCs w:val="32"/>
        </w:rPr>
      </w:pPr>
      <w:r>
        <w:rPr>
          <w:rFonts w:hint="eastAsia" w:ascii="黑体" w:hAnsi="黑体" w:eastAsia="黑体"/>
          <w:sz w:val="32"/>
          <w:szCs w:val="32"/>
        </w:rPr>
        <w:t>第二十七条</w:t>
      </w:r>
      <w:r>
        <w:rPr>
          <w:rFonts w:hint="eastAsia" w:ascii="仿宋_GB2312" w:hAnsi="黑体" w:eastAsia="仿宋_GB2312"/>
          <w:sz w:val="32"/>
          <w:szCs w:val="32"/>
        </w:rPr>
        <w:t xml:space="preserve">   本条例相关用语的含义：</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（一）雨水年径流总量控制率，是指通过自然与人工强化的渗透、蓄滞、净化等方式控制城市建设下垫面的降雨径流，得到控制的年均降雨量与年均降雨总量的比值。</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（二）海绵城市设施，是指采用自然或者人工模拟自然生态系统控制城市雨水径流的设施，包括城市水系，包括且不限于建筑与小区、道路与广场、停车场、公园绿地、排水设施中的下列设施：</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1.透水铺装、绿地屋顶、下沉式绿地、生物滞留设施（雨水花园、生物滞留池等）、渗透塘、渗井等蓄滞渗透设施；</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2.湿塘、蓄水池、雨水罐等集蓄利用设施；</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3.调节塘、调节池等调节设施；</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4.植草沟、渗管、渗渠等转输设施；</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5.植被缓冲带、初期雨水弃流设施、人工土壤渗滤、雨水湿地等净化设施。</w:t>
      </w:r>
    </w:p>
    <w:p>
      <w:pPr>
        <w:suppressAutoHyphens/>
        <w:spacing w:line="580" w:lineRule="exact"/>
        <w:ind w:firstLine="640" w:firstLineChars="200"/>
        <w:rPr>
          <w:rFonts w:ascii="仿宋_GB2312" w:hAnsi="黑体" w:eastAsia="仿宋_GB2312"/>
          <w:sz w:val="32"/>
          <w:szCs w:val="32"/>
        </w:rPr>
      </w:pPr>
      <w:r>
        <w:rPr>
          <w:rFonts w:hint="eastAsia" w:ascii="仿宋_GB2312" w:hAnsi="黑体" w:eastAsia="仿宋_GB2312"/>
          <w:sz w:val="32"/>
          <w:szCs w:val="32"/>
        </w:rPr>
        <w:t>（三）非常规水资源，是指除地表水、地下水资源以外，雨水、再生水等经过处理后可以再生利用的水源。</w:t>
      </w:r>
    </w:p>
    <w:p>
      <w:pPr>
        <w:suppressAutoHyphens/>
        <w:spacing w:line="580" w:lineRule="exact"/>
        <w:ind w:firstLine="640" w:firstLineChars="200"/>
        <w:rPr>
          <w:rFonts w:hint="eastAsia" w:ascii="仿宋_GB2312" w:eastAsia="仿宋_GB2312"/>
          <w:szCs w:val="32"/>
        </w:rPr>
      </w:pPr>
      <w:r>
        <w:rPr>
          <w:rFonts w:hint="eastAsia" w:ascii="黑体" w:hAnsi="黑体" w:eastAsia="黑体"/>
          <w:sz w:val="32"/>
          <w:szCs w:val="32"/>
        </w:rPr>
        <w:t>第二十八条</w:t>
      </w:r>
      <w:r>
        <w:rPr>
          <w:rFonts w:hint="eastAsia" w:ascii="仿宋_GB2312" w:hAnsi="黑体" w:eastAsia="仿宋_GB2312"/>
          <w:sz w:val="32"/>
          <w:szCs w:val="32"/>
        </w:rPr>
        <w:t xml:space="preserve">  本条例自</w:t>
      </w:r>
      <w:r>
        <w:rPr>
          <w:rFonts w:hint="eastAsia" w:ascii="仿宋_GB2312" w:eastAsia="仿宋_GB2312"/>
          <w:sz w:val="32"/>
          <w:szCs w:val="32"/>
        </w:rPr>
        <w:t>2023年5月1日</w:t>
      </w:r>
      <w:r>
        <w:rPr>
          <w:rFonts w:hint="eastAsia" w:ascii="仿宋_GB2312" w:hAnsi="黑体" w:eastAsia="仿宋_GB2312"/>
          <w:sz w:val="32"/>
          <w:szCs w:val="32"/>
        </w:rPr>
        <w:t>起施行。</w:t>
      </w:r>
    </w:p>
    <w:sectPr>
      <w:footerReference r:id="rId3" w:type="default"/>
      <w:footerReference r:id="rId4" w:type="even"/>
      <w:pgSz w:w="11906" w:h="16838"/>
      <w:pgMar w:top="2098" w:right="1588" w:bottom="1814" w:left="1588" w:header="851"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方正楷体_GBK">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szCs w:val="28"/>
      </w:rPr>
      <w:id w:val="-1772161137"/>
    </w:sdtPr>
    <w:sdtEndPr>
      <w:rPr>
        <w:sz w:val="28"/>
        <w:szCs w:val="28"/>
      </w:rPr>
    </w:sdtEndPr>
    <w:sdtContent>
      <w:p>
        <w:pPr>
          <w:pStyle w:val="6"/>
          <w:wordWrap w:val="0"/>
          <w:jc w:val="right"/>
          <w:rPr>
            <w:sz w:val="28"/>
            <w:szCs w:val="28"/>
          </w:rPr>
        </w:pPr>
        <w:r>
          <w:rPr>
            <w:rFonts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p>
    </w:sdtContent>
  </w:sdt>
  <w:p>
    <w:pPr>
      <w:pStyle w:val="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heme="minorEastAsia" w:hAnsiTheme="minorEastAsia" w:eastAsiaTheme="minorEastAsia"/>
        <w:sz w:val="28"/>
        <w:szCs w:val="28"/>
      </w:rPr>
    </w:pPr>
    <w:r>
      <w:rPr>
        <w:rFonts w:asciiTheme="minorEastAsia" w:hAnsiTheme="minorEastAsia" w:eastAsiaTheme="minorEastAsia"/>
        <w:sz w:val="28"/>
        <w:szCs w:val="28"/>
      </w:rPr>
      <w:t xml:space="preserve">— </w:t>
    </w:r>
    <w:sdt>
      <w:sdtPr>
        <w:rPr>
          <w:rFonts w:asciiTheme="minorEastAsia" w:hAnsiTheme="minorEastAsia" w:eastAsiaTheme="minorEastAsia"/>
          <w:sz w:val="28"/>
          <w:szCs w:val="28"/>
        </w:rPr>
        <w:id w:val="-1646890822"/>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2</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sdtContent>
    </w:sdt>
  </w:p>
  <w:p>
    <w:pPr>
      <w:pStyle w:val="6"/>
      <w:rPr>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7D0502"/>
    <w:rsid w:val="00004397"/>
    <w:rsid w:val="000071F5"/>
    <w:rsid w:val="000202ED"/>
    <w:rsid w:val="00023592"/>
    <w:rsid w:val="00024CCC"/>
    <w:rsid w:val="000257CD"/>
    <w:rsid w:val="00026B34"/>
    <w:rsid w:val="0004685C"/>
    <w:rsid w:val="000477ED"/>
    <w:rsid w:val="00066456"/>
    <w:rsid w:val="00082D1C"/>
    <w:rsid w:val="00086EB3"/>
    <w:rsid w:val="000A775C"/>
    <w:rsid w:val="000B540B"/>
    <w:rsid w:val="000C1138"/>
    <w:rsid w:val="000C2021"/>
    <w:rsid w:val="000F36CA"/>
    <w:rsid w:val="001006B4"/>
    <w:rsid w:val="0010300F"/>
    <w:rsid w:val="00110015"/>
    <w:rsid w:val="00112730"/>
    <w:rsid w:val="00125EA4"/>
    <w:rsid w:val="00140C46"/>
    <w:rsid w:val="001440D1"/>
    <w:rsid w:val="00157DAD"/>
    <w:rsid w:val="00161074"/>
    <w:rsid w:val="001638B1"/>
    <w:rsid w:val="00172BE7"/>
    <w:rsid w:val="0017420A"/>
    <w:rsid w:val="00183DDB"/>
    <w:rsid w:val="0018543A"/>
    <w:rsid w:val="00186F20"/>
    <w:rsid w:val="00193CF3"/>
    <w:rsid w:val="00196B8B"/>
    <w:rsid w:val="00196E97"/>
    <w:rsid w:val="001A008F"/>
    <w:rsid w:val="001A28DE"/>
    <w:rsid w:val="001A34B0"/>
    <w:rsid w:val="001B0B18"/>
    <w:rsid w:val="001B0F83"/>
    <w:rsid w:val="001B268C"/>
    <w:rsid w:val="001B5362"/>
    <w:rsid w:val="001B5FDB"/>
    <w:rsid w:val="001C18E2"/>
    <w:rsid w:val="001D1738"/>
    <w:rsid w:val="001E7A51"/>
    <w:rsid w:val="001F0FA7"/>
    <w:rsid w:val="001F1F71"/>
    <w:rsid w:val="0020169E"/>
    <w:rsid w:val="0021148A"/>
    <w:rsid w:val="00216D30"/>
    <w:rsid w:val="00216E31"/>
    <w:rsid w:val="00247AB0"/>
    <w:rsid w:val="0025613A"/>
    <w:rsid w:val="00262A97"/>
    <w:rsid w:val="00264228"/>
    <w:rsid w:val="00264C5A"/>
    <w:rsid w:val="0027038B"/>
    <w:rsid w:val="00276361"/>
    <w:rsid w:val="002834D7"/>
    <w:rsid w:val="002A5396"/>
    <w:rsid w:val="002B291D"/>
    <w:rsid w:val="002C6DFC"/>
    <w:rsid w:val="002C7D6C"/>
    <w:rsid w:val="002E0A6E"/>
    <w:rsid w:val="002E1B36"/>
    <w:rsid w:val="002E1C05"/>
    <w:rsid w:val="002E54F4"/>
    <w:rsid w:val="002F3F53"/>
    <w:rsid w:val="00302911"/>
    <w:rsid w:val="003033D2"/>
    <w:rsid w:val="003535EB"/>
    <w:rsid w:val="0035732B"/>
    <w:rsid w:val="003608CE"/>
    <w:rsid w:val="00361AC8"/>
    <w:rsid w:val="003655C0"/>
    <w:rsid w:val="00373B21"/>
    <w:rsid w:val="00375347"/>
    <w:rsid w:val="003831F2"/>
    <w:rsid w:val="00385C67"/>
    <w:rsid w:val="003A473A"/>
    <w:rsid w:val="003C1C00"/>
    <w:rsid w:val="003C4AF5"/>
    <w:rsid w:val="003C4F31"/>
    <w:rsid w:val="003C634D"/>
    <w:rsid w:val="003C700D"/>
    <w:rsid w:val="003C7C58"/>
    <w:rsid w:val="003D06A0"/>
    <w:rsid w:val="003E5296"/>
    <w:rsid w:val="003E7728"/>
    <w:rsid w:val="003E7B5E"/>
    <w:rsid w:val="00410D28"/>
    <w:rsid w:val="004141E0"/>
    <w:rsid w:val="00422A93"/>
    <w:rsid w:val="0042669F"/>
    <w:rsid w:val="00435CB2"/>
    <w:rsid w:val="00446A9C"/>
    <w:rsid w:val="004507FD"/>
    <w:rsid w:val="00462149"/>
    <w:rsid w:val="00465B29"/>
    <w:rsid w:val="00472913"/>
    <w:rsid w:val="00473BD8"/>
    <w:rsid w:val="0047524E"/>
    <w:rsid w:val="004779EA"/>
    <w:rsid w:val="00483F96"/>
    <w:rsid w:val="004A2679"/>
    <w:rsid w:val="004B4B0D"/>
    <w:rsid w:val="004D19AA"/>
    <w:rsid w:val="004D298F"/>
    <w:rsid w:val="004D3168"/>
    <w:rsid w:val="004D52A6"/>
    <w:rsid w:val="004D7F00"/>
    <w:rsid w:val="004F171E"/>
    <w:rsid w:val="004F2DB6"/>
    <w:rsid w:val="004F3512"/>
    <w:rsid w:val="004F7CF0"/>
    <w:rsid w:val="00505202"/>
    <w:rsid w:val="00517C9C"/>
    <w:rsid w:val="005204EC"/>
    <w:rsid w:val="00522D29"/>
    <w:rsid w:val="00523271"/>
    <w:rsid w:val="005403DF"/>
    <w:rsid w:val="005532C1"/>
    <w:rsid w:val="00574D4D"/>
    <w:rsid w:val="0057552F"/>
    <w:rsid w:val="0058488C"/>
    <w:rsid w:val="0059217C"/>
    <w:rsid w:val="0059241E"/>
    <w:rsid w:val="00597039"/>
    <w:rsid w:val="005C371B"/>
    <w:rsid w:val="005C5E14"/>
    <w:rsid w:val="005D2EEA"/>
    <w:rsid w:val="005D6EF1"/>
    <w:rsid w:val="005E13B6"/>
    <w:rsid w:val="005F0FF0"/>
    <w:rsid w:val="005F5703"/>
    <w:rsid w:val="006074E3"/>
    <w:rsid w:val="00611C63"/>
    <w:rsid w:val="00612C2B"/>
    <w:rsid w:val="006177FC"/>
    <w:rsid w:val="00655DA5"/>
    <w:rsid w:val="00656A83"/>
    <w:rsid w:val="00661E7F"/>
    <w:rsid w:val="006813F3"/>
    <w:rsid w:val="006920FB"/>
    <w:rsid w:val="00692991"/>
    <w:rsid w:val="00692AF9"/>
    <w:rsid w:val="00697C2C"/>
    <w:rsid w:val="006B42D1"/>
    <w:rsid w:val="006B4AE5"/>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5341C"/>
    <w:rsid w:val="007627C2"/>
    <w:rsid w:val="00771D45"/>
    <w:rsid w:val="00782B6C"/>
    <w:rsid w:val="00794F77"/>
    <w:rsid w:val="007A5041"/>
    <w:rsid w:val="007B0178"/>
    <w:rsid w:val="007B13A0"/>
    <w:rsid w:val="007B3B66"/>
    <w:rsid w:val="007C08F6"/>
    <w:rsid w:val="007D0502"/>
    <w:rsid w:val="00804BE3"/>
    <w:rsid w:val="00804EA2"/>
    <w:rsid w:val="008142BF"/>
    <w:rsid w:val="0082049D"/>
    <w:rsid w:val="008250C6"/>
    <w:rsid w:val="0083026A"/>
    <w:rsid w:val="00830D47"/>
    <w:rsid w:val="0083260E"/>
    <w:rsid w:val="00837F8B"/>
    <w:rsid w:val="008411FF"/>
    <w:rsid w:val="00850BC9"/>
    <w:rsid w:val="00857B3D"/>
    <w:rsid w:val="008616EA"/>
    <w:rsid w:val="00865F22"/>
    <w:rsid w:val="00885075"/>
    <w:rsid w:val="008A2046"/>
    <w:rsid w:val="008A6850"/>
    <w:rsid w:val="008D50ED"/>
    <w:rsid w:val="008E079E"/>
    <w:rsid w:val="008E30DF"/>
    <w:rsid w:val="008E51D4"/>
    <w:rsid w:val="008F7125"/>
    <w:rsid w:val="009045AE"/>
    <w:rsid w:val="00904BCD"/>
    <w:rsid w:val="0091328A"/>
    <w:rsid w:val="00921ACE"/>
    <w:rsid w:val="00927FEB"/>
    <w:rsid w:val="00936595"/>
    <w:rsid w:val="00940FF9"/>
    <w:rsid w:val="00953A8A"/>
    <w:rsid w:val="00962599"/>
    <w:rsid w:val="0097572D"/>
    <w:rsid w:val="0098116C"/>
    <w:rsid w:val="009923A8"/>
    <w:rsid w:val="009A4BFB"/>
    <w:rsid w:val="009B3E1A"/>
    <w:rsid w:val="009B5569"/>
    <w:rsid w:val="009B6487"/>
    <w:rsid w:val="009C2151"/>
    <w:rsid w:val="009D0744"/>
    <w:rsid w:val="009F142D"/>
    <w:rsid w:val="00A22F5C"/>
    <w:rsid w:val="00A4771D"/>
    <w:rsid w:val="00A52276"/>
    <w:rsid w:val="00A54D33"/>
    <w:rsid w:val="00A635E5"/>
    <w:rsid w:val="00A641E7"/>
    <w:rsid w:val="00A84CB2"/>
    <w:rsid w:val="00A85740"/>
    <w:rsid w:val="00A86661"/>
    <w:rsid w:val="00A86ACE"/>
    <w:rsid w:val="00AA5B2F"/>
    <w:rsid w:val="00AB5228"/>
    <w:rsid w:val="00AC59A3"/>
    <w:rsid w:val="00AC7D3C"/>
    <w:rsid w:val="00AD359F"/>
    <w:rsid w:val="00AD4046"/>
    <w:rsid w:val="00AE0D20"/>
    <w:rsid w:val="00AE3527"/>
    <w:rsid w:val="00B03779"/>
    <w:rsid w:val="00B0396F"/>
    <w:rsid w:val="00B04548"/>
    <w:rsid w:val="00B05781"/>
    <w:rsid w:val="00B204FE"/>
    <w:rsid w:val="00B25E55"/>
    <w:rsid w:val="00B2611D"/>
    <w:rsid w:val="00B274E2"/>
    <w:rsid w:val="00B36406"/>
    <w:rsid w:val="00B4651A"/>
    <w:rsid w:val="00B55710"/>
    <w:rsid w:val="00B66B4B"/>
    <w:rsid w:val="00B72D4C"/>
    <w:rsid w:val="00B80979"/>
    <w:rsid w:val="00B82C07"/>
    <w:rsid w:val="00B8358C"/>
    <w:rsid w:val="00B86C00"/>
    <w:rsid w:val="00B87B7C"/>
    <w:rsid w:val="00BA373F"/>
    <w:rsid w:val="00BB7B27"/>
    <w:rsid w:val="00BC4186"/>
    <w:rsid w:val="00BD2469"/>
    <w:rsid w:val="00BD721C"/>
    <w:rsid w:val="00BF5191"/>
    <w:rsid w:val="00BF5306"/>
    <w:rsid w:val="00C00652"/>
    <w:rsid w:val="00C21A44"/>
    <w:rsid w:val="00C272C9"/>
    <w:rsid w:val="00C3413D"/>
    <w:rsid w:val="00C45D2A"/>
    <w:rsid w:val="00C606B2"/>
    <w:rsid w:val="00C951F8"/>
    <w:rsid w:val="00C9560B"/>
    <w:rsid w:val="00C9673C"/>
    <w:rsid w:val="00C96794"/>
    <w:rsid w:val="00CA7172"/>
    <w:rsid w:val="00CB145E"/>
    <w:rsid w:val="00CC7AA8"/>
    <w:rsid w:val="00CE1B8A"/>
    <w:rsid w:val="00CE7D0D"/>
    <w:rsid w:val="00CF12A5"/>
    <w:rsid w:val="00D00533"/>
    <w:rsid w:val="00D016CD"/>
    <w:rsid w:val="00D04D92"/>
    <w:rsid w:val="00D1296B"/>
    <w:rsid w:val="00D21958"/>
    <w:rsid w:val="00D219CF"/>
    <w:rsid w:val="00D23B57"/>
    <w:rsid w:val="00D25D6D"/>
    <w:rsid w:val="00D273AE"/>
    <w:rsid w:val="00D31375"/>
    <w:rsid w:val="00D67C95"/>
    <w:rsid w:val="00D7302F"/>
    <w:rsid w:val="00D765FF"/>
    <w:rsid w:val="00D8752C"/>
    <w:rsid w:val="00D87E2A"/>
    <w:rsid w:val="00D9248E"/>
    <w:rsid w:val="00D94427"/>
    <w:rsid w:val="00DA1862"/>
    <w:rsid w:val="00DD0D36"/>
    <w:rsid w:val="00DD241F"/>
    <w:rsid w:val="00DD3758"/>
    <w:rsid w:val="00E07919"/>
    <w:rsid w:val="00E2662C"/>
    <w:rsid w:val="00E32875"/>
    <w:rsid w:val="00E378BB"/>
    <w:rsid w:val="00E40615"/>
    <w:rsid w:val="00E518E1"/>
    <w:rsid w:val="00E54FAC"/>
    <w:rsid w:val="00E613A3"/>
    <w:rsid w:val="00E6281E"/>
    <w:rsid w:val="00E658CE"/>
    <w:rsid w:val="00E81B31"/>
    <w:rsid w:val="00E82D0F"/>
    <w:rsid w:val="00E841B7"/>
    <w:rsid w:val="00E90ECD"/>
    <w:rsid w:val="00EA05B0"/>
    <w:rsid w:val="00EA523B"/>
    <w:rsid w:val="00EB03B2"/>
    <w:rsid w:val="00EB6D89"/>
    <w:rsid w:val="00EC719A"/>
    <w:rsid w:val="00ED2CD5"/>
    <w:rsid w:val="00EE6A41"/>
    <w:rsid w:val="00EF7E1B"/>
    <w:rsid w:val="00F07435"/>
    <w:rsid w:val="00F2052B"/>
    <w:rsid w:val="00F2782B"/>
    <w:rsid w:val="00F33FF0"/>
    <w:rsid w:val="00F53F64"/>
    <w:rsid w:val="00F84B7B"/>
    <w:rsid w:val="00FA34D1"/>
    <w:rsid w:val="00FB7DE9"/>
    <w:rsid w:val="00FC0A7C"/>
    <w:rsid w:val="00FC5088"/>
    <w:rsid w:val="00FD1463"/>
    <w:rsid w:val="00FD2DEC"/>
    <w:rsid w:val="00FE4E62"/>
    <w:rsid w:val="00FE610A"/>
    <w:rsid w:val="00FF04C0"/>
    <w:rsid w:val="00FF4844"/>
    <w:rsid w:val="012D4C0C"/>
    <w:rsid w:val="05766486"/>
    <w:rsid w:val="1BC12BB3"/>
    <w:rsid w:val="1BF965FB"/>
    <w:rsid w:val="2AE06F2E"/>
    <w:rsid w:val="2E9D29C5"/>
    <w:rsid w:val="358D723E"/>
    <w:rsid w:val="36F8714D"/>
    <w:rsid w:val="4997646B"/>
    <w:rsid w:val="4A8351F9"/>
    <w:rsid w:val="5345792B"/>
    <w:rsid w:val="55FFE25B"/>
    <w:rsid w:val="58520141"/>
    <w:rsid w:val="5C5942D7"/>
    <w:rsid w:val="5E242BED"/>
    <w:rsid w:val="62A112D3"/>
    <w:rsid w:val="6F9F036D"/>
    <w:rsid w:val="72BFC05A"/>
    <w:rsid w:val="756DC87D"/>
    <w:rsid w:val="78F463E9"/>
    <w:rsid w:val="7A483C33"/>
    <w:rsid w:val="7DD60C79"/>
    <w:rsid w:val="7FFC0567"/>
    <w:rsid w:val="BDF3253F"/>
    <w:rsid w:val="EB3FDEC2"/>
    <w:rsid w:val="EFF3D8FE"/>
    <w:rsid w:val="F7479340"/>
    <w:rsid w:val="FBFFB856"/>
    <w:rsid w:val="FFF3856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Salutation"/>
    <w:basedOn w:val="1"/>
    <w:next w:val="1"/>
    <w:link w:val="23"/>
    <w:qFormat/>
    <w:uiPriority w:val="0"/>
    <w:pPr>
      <w:widowControl/>
    </w:pPr>
    <w:rPr>
      <w:rFonts w:ascii="Calibri" w:hAnsi="Calibri"/>
      <w:szCs w:val="22"/>
    </w:rPr>
  </w:style>
  <w:style w:type="paragraph" w:styleId="4">
    <w:name w:val="Date"/>
    <w:basedOn w:val="1"/>
    <w:next w:val="1"/>
    <w:link w:val="18"/>
    <w:unhideWhenUsed/>
    <w:qFormat/>
    <w:uiPriority w:val="99"/>
    <w:pPr>
      <w:ind w:left="100" w:leftChars="2500"/>
    </w:pPr>
  </w:style>
  <w:style w:type="paragraph" w:styleId="5">
    <w:name w:val="Balloon Text"/>
    <w:basedOn w:val="1"/>
    <w:link w:val="12"/>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index 7"/>
    <w:basedOn w:val="1"/>
    <w:next w:val="1"/>
    <w:qFormat/>
    <w:uiPriority w:val="0"/>
    <w:pPr>
      <w:ind w:left="2520"/>
    </w:pPr>
  </w:style>
  <w:style w:type="paragraph" w:styleId="9">
    <w:name w:val="Normal (Web)"/>
    <w:basedOn w:val="1"/>
    <w:next w:val="5"/>
    <w:qFormat/>
    <w:uiPriority w:val="0"/>
    <w:pPr>
      <w:widowControl/>
      <w:spacing w:before="100" w:beforeAutospacing="1" w:after="100" w:afterAutospacing="1"/>
      <w:jc w:val="left"/>
    </w:pPr>
    <w:rPr>
      <w:rFonts w:ascii="宋体" w:hAnsi="宋体" w:cs="宋体"/>
      <w:kern w:val="0"/>
      <w:sz w:val="24"/>
    </w:rPr>
  </w:style>
  <w:style w:type="character" w:customStyle="1" w:styleId="12">
    <w:name w:val="批注框文本 Char"/>
    <w:basedOn w:val="11"/>
    <w:link w:val="5"/>
    <w:semiHidden/>
    <w:qFormat/>
    <w:uiPriority w:val="99"/>
    <w:rPr>
      <w:rFonts w:ascii="Times New Roman" w:hAnsi="Times New Roman" w:eastAsia="宋体" w:cs="Times New Roman"/>
      <w:sz w:val="18"/>
      <w:szCs w:val="18"/>
    </w:rPr>
  </w:style>
  <w:style w:type="character" w:customStyle="1" w:styleId="13">
    <w:name w:val="页眉 Char"/>
    <w:basedOn w:val="11"/>
    <w:link w:val="7"/>
    <w:qFormat/>
    <w:uiPriority w:val="99"/>
    <w:rPr>
      <w:rFonts w:ascii="Times New Roman" w:hAnsi="Times New Roman" w:eastAsia="宋体" w:cs="Times New Roman"/>
      <w:sz w:val="18"/>
      <w:szCs w:val="18"/>
    </w:rPr>
  </w:style>
  <w:style w:type="character" w:customStyle="1" w:styleId="14">
    <w:name w:val="页脚 Char"/>
    <w:basedOn w:val="11"/>
    <w:link w:val="6"/>
    <w:qFormat/>
    <w:uiPriority w:val="99"/>
    <w:rPr>
      <w:rFonts w:ascii="Times New Roman" w:hAnsi="Times New Roman" w:eastAsia="宋体" w:cs="Times New Roman"/>
      <w:sz w:val="18"/>
      <w:szCs w:val="18"/>
    </w:rPr>
  </w:style>
  <w:style w:type="paragraph" w:customStyle="1" w:styleId="15">
    <w:name w:val="List Paragraph1"/>
    <w:basedOn w:val="1"/>
    <w:next w:val="5"/>
    <w:qFormat/>
    <w:uiPriority w:val="0"/>
    <w:pPr>
      <w:ind w:firstLine="200" w:firstLineChars="200"/>
    </w:pPr>
    <w:rPr>
      <w:rFonts w:ascii="Calibri" w:hAnsi="Calibri" w:cs="宋体"/>
      <w:szCs w:val="22"/>
    </w:rPr>
  </w:style>
  <w:style w:type="character" w:customStyle="1" w:styleId="16">
    <w:name w:val="标题 1 Char"/>
    <w:basedOn w:val="11"/>
    <w:link w:val="2"/>
    <w:qFormat/>
    <w:uiPriority w:val="0"/>
    <w:rPr>
      <w:rFonts w:ascii="宋体" w:hAnsi="宋体" w:eastAsia="宋体" w:cs="宋体"/>
      <w:b/>
      <w:bCs/>
      <w:kern w:val="36"/>
      <w:sz w:val="48"/>
      <w:szCs w:val="48"/>
    </w:rPr>
  </w:style>
  <w:style w:type="paragraph" w:customStyle="1" w:styleId="17">
    <w:name w:val="Char"/>
    <w:basedOn w:val="1"/>
    <w:next w:val="1"/>
    <w:qFormat/>
    <w:uiPriority w:val="0"/>
    <w:pPr>
      <w:spacing w:line="360" w:lineRule="auto"/>
      <w:ind w:firstLine="200" w:firstLineChars="200"/>
    </w:pPr>
    <w:rPr>
      <w:rFonts w:ascii="宋体" w:hAnsi="宋体" w:eastAsia="仿宋_GB2312" w:cs="宋体"/>
      <w:sz w:val="24"/>
      <w:szCs w:val="28"/>
    </w:rPr>
  </w:style>
  <w:style w:type="character" w:customStyle="1" w:styleId="18">
    <w:name w:val="日期 Char"/>
    <w:basedOn w:val="11"/>
    <w:link w:val="4"/>
    <w:semiHidden/>
    <w:qFormat/>
    <w:uiPriority w:val="99"/>
    <w:rPr>
      <w:rFonts w:ascii="Times New Roman" w:hAnsi="Times New Roman" w:eastAsia="宋体" w:cs="Times New Roman"/>
      <w:szCs w:val="24"/>
    </w:rPr>
  </w:style>
  <w:style w:type="paragraph" w:customStyle="1" w:styleId="19">
    <w:name w:val="列出段落1"/>
    <w:basedOn w:val="1"/>
    <w:qFormat/>
    <w:uiPriority w:val="34"/>
    <w:pPr>
      <w:ind w:firstLine="420" w:firstLineChars="200"/>
    </w:pPr>
  </w:style>
  <w:style w:type="paragraph" w:customStyle="1" w:styleId="20">
    <w:name w:val="p0"/>
    <w:basedOn w:val="1"/>
    <w:qFormat/>
    <w:uiPriority w:val="0"/>
    <w:pPr>
      <w:widowControl/>
      <w:spacing w:before="100" w:beforeAutospacing="1" w:after="100" w:afterAutospacing="1"/>
      <w:jc w:val="left"/>
    </w:pPr>
    <w:rPr>
      <w:rFonts w:ascii="宋体" w:hAnsi="宋体" w:cs="宋体"/>
      <w:kern w:val="0"/>
      <w:sz w:val="24"/>
    </w:rPr>
  </w:style>
  <w:style w:type="character" w:customStyle="1" w:styleId="21">
    <w:name w:val="NormalCharacter"/>
    <w:semiHidden/>
    <w:qFormat/>
    <w:uiPriority w:val="0"/>
  </w:style>
  <w:style w:type="character" w:customStyle="1" w:styleId="22">
    <w:name w:val="称呼 Char"/>
    <w:basedOn w:val="11"/>
    <w:semiHidden/>
    <w:qFormat/>
    <w:uiPriority w:val="99"/>
    <w:rPr>
      <w:rFonts w:ascii="Times New Roman" w:hAnsi="Times New Roman" w:eastAsia="宋体" w:cs="Times New Roman"/>
      <w:kern w:val="2"/>
      <w:sz w:val="21"/>
      <w:szCs w:val="24"/>
    </w:rPr>
  </w:style>
  <w:style w:type="character" w:customStyle="1" w:styleId="23">
    <w:name w:val="称呼 Char1"/>
    <w:basedOn w:val="11"/>
    <w:link w:val="3"/>
    <w:qFormat/>
    <w:uiPriority w:val="0"/>
    <w:rPr>
      <w:rFonts w:ascii="Calibri" w:hAnsi="Calibri" w:eastAsia="宋体" w:cs="Times New Roman"/>
      <w:kern w:val="2"/>
      <w:sz w:val="21"/>
      <w:szCs w:val="22"/>
    </w:rPr>
  </w:style>
  <w:style w:type="paragraph" w:customStyle="1" w:styleId="24">
    <w:name w:val="HtmlNormal"/>
    <w:basedOn w:val="1"/>
    <w:qFormat/>
    <w:uiPriority w:val="0"/>
    <w:pPr>
      <w:widowControl/>
      <w:spacing w:before="100" w:beforeAutospacing="1" w:after="100" w:afterAutospacing="1"/>
      <w:jc w:val="left"/>
    </w:pPr>
    <w:rPr>
      <w:rFonts w:ascii="宋体" w:hAnsi="宋体" w:eastAsia="方正仿宋简体"/>
      <w:kern w:val="0"/>
      <w:sz w:val="24"/>
    </w:rPr>
  </w:style>
  <w:style w:type="character" w:customStyle="1" w:styleId="25">
    <w:name w:val="PageNumber"/>
    <w:basedOn w:val="21"/>
    <w:qFormat/>
    <w:uiPriority w:val="0"/>
  </w:style>
  <w:style w:type="paragraph" w:customStyle="1" w:styleId="26">
    <w:name w:val="UserStyle_4"/>
    <w:basedOn w:val="1"/>
    <w:next w:val="1"/>
    <w:qFormat/>
    <w:uiPriority w:val="0"/>
    <w:pPr>
      <w:widowControl/>
    </w:pPr>
    <w:rPr>
      <w:rFonts w:eastAsia="方正仿宋简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393D3-FB8C-442C-9BA9-D17B693FEE8E}">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9</Pages>
  <Words>3719</Words>
  <Characters>3739</Characters>
  <Lines>1</Lines>
  <Paragraphs>7</Paragraphs>
  <TotalTime>494</TotalTime>
  <ScaleCrop>false</ScaleCrop>
  <LinksUpToDate>false</LinksUpToDate>
  <CharactersWithSpaces>3824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2021-05-12T07:42:00Z</dcterms:created>
  <dc:creator>lenovo</dc:creator>
  <cp:lastModifiedBy>諳語</cp:lastModifiedBy>
  <cp:lastPrinted>2023-04-11T01:47:00Z</cp:lastPrinted>
  <dcterms:modified xsi:type="dcterms:W3CDTF">2023-05-11T08:37:40Z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E2C8C3B0D7D940AF9DCB3378ADFA96E7_12</vt:lpwstr>
  </property>
</Properties>
</file>