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bookmarkStart w:id="0" w:name="拉萨市老城区保护条例"/>
      <w:bookmarkEnd w:id="0"/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拉萨市老城区保护条例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（2013年6月17日拉萨市第十届人民代表大会常务委员会第九次会议通过　2013年7月25日西藏自治区第十届人民代表大会常务委员会第五次会议批准　2019年8月28日拉萨市第十一届人民代表大会常务委员会第十八次会议通过　2019年11月29日西藏自治区第十一届人民代表大会常务委员会第十五次会议批准　根据2024年12月27日拉萨市第十二届人民代表大会常务委员会第二十七次会议《关于修改〈拉萨市水利工程管理条例〉等5件地方性法规的决定》修正　2025年3月28日西藏自治区第十二届人民代表大会常务委员会第十五次会议批准）</w:t>
      </w:r>
    </w:p>
    <w:p>
      <w:pPr>
        <w:rPr>
          <w:rFonts w:ascii="Times New Roman" w:eastAsia="宋体" w:hAnsi="Times New Roman" w:cs="宋体"/>
          <w:szCs w:val="32"/>
        </w:rPr>
      </w:pPr>
    </w:p>
    <w:p w14:paraId="57F2AA95">
      <w:pPr>
        <w:spacing w:line="240" w:lineRule="auto"/>
        <w:ind w:firstLine="0"/>
        <w:jc w:val="center"/>
        <w:rPr>
          <w:rFonts w:ascii="Times New Roman" w:hAnsi="Times New Roman"/>
        </w:rPr>
      </w:pPr>
      <w:bookmarkStart w:id="2" w:name="目录"/>
      <w:bookmarkEnd w:id="2"/>
      <w:r>
        <w:rPr>
          <w:rFonts w:ascii="Times New Roman" w:eastAsia="楷体_GB2312" w:hAnsi="Times New Roman" w:cs="楷体_GB2312"/>
          <w:sz w:val="32"/>
        </w:rPr>
        <w:t>目　　录</w:t>
      </w:r>
    </w:p>
    <w:p w14:paraId="4D3891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80" w:right="0" w:hanging="640" w:leftChars="200" w:rightChars="0" w:hangingChars="200"/>
        <w:jc w:val="both"/>
        <w:textAlignment w:val="auto"/>
        <w:rPr>
          <w:rFonts w:ascii="Times New Roman" w:eastAsia="楷体_GB2312" w:hAnsi="Times New Roman" w:cs="楷体_GB2312"/>
          <w:sz w:val="32"/>
        </w:rPr>
      </w:pPr>
      <w:r>
        <w:rPr>
          <w:rFonts w:ascii="Times New Roman" w:eastAsia="楷体_GB2312" w:hAnsi="Times New Roman" w:cs="楷体_GB2312"/>
          <w:sz w:val="32"/>
        </w:rPr>
        <w:t>第一章　总　　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80" w:right="0" w:hanging="640" w:leftChars="200" w:rightChars="0" w:hangingChars="200"/>
        <w:jc w:val="both"/>
        <w:textAlignment w:val="auto"/>
        <w:rPr>
          <w:rFonts w:ascii="Times New Roman" w:eastAsia="楷体_GB2312" w:hAnsi="Times New Roman" w:cs="楷体_GB2312"/>
          <w:sz w:val="32"/>
        </w:rPr>
      </w:pPr>
      <w:r>
        <w:rPr>
          <w:rFonts w:ascii="Times New Roman" w:eastAsia="楷体_GB2312" w:hAnsi="Times New Roman" w:cs="楷体_GB2312"/>
          <w:sz w:val="32"/>
        </w:rPr>
        <w:t>第二章　保　　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80" w:right="0" w:hanging="640" w:leftChars="200" w:rightChars="0" w:hangingChars="200"/>
        <w:jc w:val="both"/>
        <w:textAlignment w:val="auto"/>
        <w:rPr>
          <w:rFonts w:ascii="Times New Roman" w:eastAsia="楷体_GB2312" w:hAnsi="Times New Roman" w:cs="楷体_GB2312"/>
          <w:sz w:val="32"/>
        </w:rPr>
      </w:pPr>
      <w:r>
        <w:rPr>
          <w:rFonts w:ascii="Times New Roman" w:eastAsia="楷体_GB2312" w:hAnsi="Times New Roman" w:cs="楷体_GB2312"/>
          <w:sz w:val="32"/>
        </w:rPr>
        <w:t>第三章　管　　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80" w:right="0" w:hanging="640" w:leftChars="200" w:rightChars="0" w:hangingChars="200"/>
        <w:jc w:val="both"/>
        <w:textAlignment w:val="auto"/>
        <w:rPr>
          <w:rFonts w:ascii="Times New Roman" w:eastAsia="楷体_GB2312" w:hAnsi="Times New Roman" w:cs="楷体_GB2312"/>
          <w:sz w:val="32"/>
        </w:rPr>
      </w:pPr>
      <w:r>
        <w:rPr>
          <w:rFonts w:ascii="Times New Roman" w:eastAsia="楷体_GB2312" w:hAnsi="Times New Roman" w:cs="楷体_GB2312"/>
          <w:sz w:val="32"/>
        </w:rPr>
        <w:t>第四章　利　　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80" w:right="0" w:hanging="640" w:leftChars="200" w:rightChars="0" w:hangingChars="200"/>
        <w:jc w:val="both"/>
        <w:textAlignment w:val="auto"/>
        <w:rPr>
          <w:rFonts w:ascii="Times New Roman" w:eastAsia="楷体_GB2312" w:hAnsi="Times New Roman" w:cs="楷体_GB2312"/>
          <w:sz w:val="32"/>
        </w:rPr>
      </w:pPr>
      <w:r>
        <w:rPr>
          <w:rFonts w:ascii="Times New Roman" w:eastAsia="楷体_GB2312" w:hAnsi="Times New Roman" w:cs="楷体_GB2312"/>
          <w:sz w:val="32"/>
        </w:rPr>
        <w:t>第五章　法律责任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80" w:right="0" w:hanging="640" w:leftChars="200" w:rightChars="0" w:hangingChars="200"/>
        <w:jc w:val="both"/>
        <w:textAlignment w:val="auto"/>
        <w:rPr>
          <w:rFonts w:ascii="Times New Roman" w:eastAsia="楷体_GB2312" w:hAnsi="Times New Roman" w:cs="楷体_GB2312"/>
          <w:sz w:val="32"/>
        </w:rPr>
      </w:pPr>
      <w:r>
        <w:rPr>
          <w:rFonts w:ascii="Times New Roman" w:eastAsia="楷体_GB2312" w:hAnsi="Times New Roman" w:cs="楷体_GB2312"/>
          <w:sz w:val="32"/>
        </w:rPr>
        <w:t>第六章　附　　则</w:t>
      </w:r>
    </w:p>
    <w:p>
      <w:pPr>
        <w:rPr>
          <w:rFonts w:ascii="Times New Roman" w:eastAsia="宋体" w:hAnsi="Times New Roman" w:cs="宋体"/>
          <w:szCs w:val="32"/>
        </w:rPr>
      </w:pPr>
    </w:p>
    <w:p w14:paraId="5888BCF4">
      <w:pPr>
        <w:jc w:val="center"/>
        <w:rPr>
          <w:rFonts w:ascii="Times New Roman" w:eastAsia="黑体" w:hAnsi="Times New Roman" w:cs="黑体"/>
          <w:szCs w:val="32"/>
        </w:rPr>
      </w:pPr>
      <w:bookmarkStart w:id="3" w:name="第一章 总则"/>
      <w:bookmarkEnd w:id="3"/>
      <w:r>
        <w:rPr>
          <w:rFonts w:ascii="Times New Roman" w:eastAsia="黑体" w:hAnsi="Times New Roman" w:cs="黑体" w:hint="eastAsia"/>
          <w:szCs w:val="32"/>
        </w:rPr>
        <w:t>第一章　总　　则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" w:name="第一条"/>
      <w:bookmarkEnd w:id="4"/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为了加强对拉萨老城区保护，继承民族优秀历史文化遗产，根据《中华人民共和国城乡规划法》《中华人民共和国文物保护法》等相关法律、法规的规定，结合本市实际，制定本条例。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5" w:name="第二条"/>
      <w:bookmarkEnd w:id="5"/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本条例所称老城区是指拉萨市市区林廓东路以西、江苏路以北、朵森格路以东、林廓北路以南，总面积1.33平方公里。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6" w:name="第三条"/>
      <w:bookmarkEnd w:id="6"/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老城区区域内的任何单位、组织和个人以及进入老城区内的任何单位、组织和个人应当遵守本条例。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7" w:name="第四条"/>
      <w:bookmarkEnd w:id="7"/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老城区保护应当遵循传承历史、保护为主、严格管理、合理利用、保持传统特色的原则。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8" w:name="第五条"/>
      <w:bookmarkEnd w:id="8"/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拉萨市人民政府应当加强对老城区保护工作的统一领导，将老城区保护纳入国民经济和社会发展计划，所需经费列入财政预算。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9" w:name="第六条"/>
      <w:bookmarkEnd w:id="9"/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拉萨市人民政府设立老城区保护机构，老城区保护机构为拉萨市人民政府派出机构，负责老城区保护和管理工作。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拉萨市发展和改革、财政、文物、自然资源、住房和城乡建设、公安、消防、民族、宗教、城市管理、旅游、生态环境、市场监督管理、商务、交通运输、林业和草原等主管部门和城关区人民政府按照各自职责，做好老城区的保护、管理和利用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0" w:name="第七条"/>
      <w:bookmarkEnd w:id="10"/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拉萨市人民政府应当鼓励企业、事业单位、社会团体，其他组织和个人参与老城区的保护。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1" w:name="第八条"/>
      <w:bookmarkEnd w:id="11"/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拉萨市人民政府应当对保护老城区作出突出贡献的组织和个人，给予表彰、奖励。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2" w:name="第九条"/>
      <w:bookmarkEnd w:id="12"/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任何组织和个人均有权对损害老城区的行为进行举报。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13" w:name="第二章 保护"/>
      <w:bookmarkEnd w:id="13"/>
      <w:r>
        <w:rPr>
          <w:rFonts w:ascii="Times New Roman" w:eastAsia="黑体" w:hAnsi="Times New Roman" w:cs="黑体" w:hint="eastAsia"/>
          <w:szCs w:val="32"/>
        </w:rPr>
        <w:t>第二章　保　　护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4" w:name="第十条"/>
      <w:bookmarkEnd w:id="14"/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拉萨市人民政府负责组织编制《拉萨市老城区保护规划》，经自治区人民政府批准后公布实施。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5" w:name="第十一条"/>
      <w:bookmarkEnd w:id="15"/>
      <w:r>
        <w:rPr>
          <w:rFonts w:ascii="Times New Roman" w:eastAsia="黑体" w:hAnsi="Times New Roman" w:cs="黑体" w:hint="eastAsia"/>
          <w:sz w:val="32"/>
          <w:szCs w:val="32"/>
        </w:rPr>
        <w:t>第十一条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拉萨老城区分为核心保护区和保护缓冲区。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核心保护区为围绕八廓街为主体形成的历史文化中心区，建（构）筑物高度不得超过10米；大昭寺广场周边建（构）筑物高度应当与核心保护区保持一致。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老城区其他区域为保护缓冲区，建（构）筑物高度不得超过12米。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6" w:name="第十二条"/>
      <w:bookmarkEnd w:id="16"/>
      <w:r>
        <w:rPr>
          <w:rFonts w:ascii="Times New Roman" w:eastAsia="黑体" w:hAnsi="Times New Roman" w:cs="黑体" w:hint="eastAsia"/>
          <w:sz w:val="32"/>
          <w:szCs w:val="32"/>
        </w:rPr>
        <w:t>第十二条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老城区核心保护区内，除经过审批的基础设施和公共服务设施外，不得进行新建、改建、扩建和拆除建（构）筑物；进行房屋、设施整修和功能配置调整时，外观应当保持原状。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老城区保护缓冲区内改建、新建的建（构）筑物，其体量、高度、色彩及形式应当与相邻部位的风貌相一致。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对不符合老城区总体风貌的现有建（构）筑物逐步拆除、改建，具体方案由老城区保护机构提出，按照有关程序报经批准后实施。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7" w:name="第十三条"/>
      <w:bookmarkEnd w:id="17"/>
      <w:r>
        <w:rPr>
          <w:rFonts w:ascii="Times New Roman" w:eastAsia="黑体" w:hAnsi="Times New Roman" w:cs="黑体" w:hint="eastAsia"/>
          <w:sz w:val="32"/>
          <w:szCs w:val="32"/>
        </w:rPr>
        <w:t>第十三条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老城区内的历史街巷应当保持原有的视线道廊、空间尺度及历史原貌。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8" w:name="第十四条"/>
      <w:bookmarkEnd w:id="18"/>
      <w:r>
        <w:rPr>
          <w:rFonts w:ascii="Times New Roman" w:eastAsia="黑体" w:hAnsi="Times New Roman" w:cs="黑体" w:hint="eastAsia"/>
          <w:sz w:val="32"/>
          <w:szCs w:val="32"/>
        </w:rPr>
        <w:t>第十四条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未经老城区保护机构批准，不得擅自修缮、改造老城区内的建（构）筑物。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老城区内传统建（构）筑物、古建大院的管理、维护和修缮由所有权人负责。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对影响老城区市政市容和行人安全的危旧传统建（构）筑物及危险建（构）筑物，老城区保护机构应当组织鉴定，确需整修的由所有权人予以整修。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所有权人在维护、修缮、整修过程中确有困难的，按照有关规定给予补助。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尚未申报或未公布为文物保护单位，但具有一定文化、历史、纪念意义的古建大院，参照《中华人民共和国文物保护法》规定进行管理。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9" w:name="第十五条"/>
      <w:bookmarkEnd w:id="19"/>
      <w:r>
        <w:rPr>
          <w:rFonts w:ascii="Times New Roman" w:eastAsia="黑体" w:hAnsi="Times New Roman" w:cs="黑体" w:hint="eastAsia"/>
          <w:sz w:val="32"/>
          <w:szCs w:val="32"/>
        </w:rPr>
        <w:t>第十五条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老城区保护范围内的古建大院及传统建（构）筑物被确定为文物的，拉萨市人民政府应当按照《中华人民共和国文物保护法》的规定进行管理，并设立保护标志。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20" w:name="第三章 管理"/>
      <w:bookmarkEnd w:id="20"/>
      <w:r>
        <w:rPr>
          <w:rFonts w:ascii="Times New Roman" w:eastAsia="黑体" w:hAnsi="Times New Roman" w:cs="黑体" w:hint="eastAsia"/>
          <w:szCs w:val="32"/>
        </w:rPr>
        <w:t>第三章　管　　理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1" w:name="第十六条"/>
      <w:bookmarkEnd w:id="21"/>
      <w:r>
        <w:rPr>
          <w:rFonts w:ascii="Times New Roman" w:eastAsia="黑体" w:hAnsi="Times New Roman" w:cs="黑体" w:hint="eastAsia"/>
          <w:sz w:val="32"/>
          <w:szCs w:val="32"/>
        </w:rPr>
        <w:t>第十六条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老城区核心保护区内，除执行公务的公安、消防车辆以及救护、环卫、殡葬等车辆外，其他机动车辆未经老城区保护机构批准不得进入；自行车、三轮车等非机动车辆应当推行，并停放在指定地点。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2" w:name="第十七条"/>
      <w:bookmarkEnd w:id="22"/>
      <w:r>
        <w:rPr>
          <w:rFonts w:ascii="Times New Roman" w:eastAsia="黑体" w:hAnsi="Times New Roman" w:cs="黑体" w:hint="eastAsia"/>
          <w:sz w:val="32"/>
          <w:szCs w:val="32"/>
        </w:rPr>
        <w:t>第十七条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老城区核心保护区内禁止设置户外广告、电子显示屏，安装遮光篷、遮雨篷、阳光棚。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3" w:name="第十八条"/>
      <w:bookmarkEnd w:id="23"/>
      <w:r>
        <w:rPr>
          <w:rFonts w:ascii="Times New Roman" w:eastAsia="黑体" w:hAnsi="Times New Roman" w:cs="黑体" w:hint="eastAsia"/>
          <w:sz w:val="32"/>
          <w:szCs w:val="32"/>
        </w:rPr>
        <w:t>第十八条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任何单位和个人不得损毁传统建（构）筑物的保护标志。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4" w:name="第十九条"/>
      <w:bookmarkEnd w:id="24"/>
      <w:r>
        <w:rPr>
          <w:rFonts w:ascii="Times New Roman" w:eastAsia="黑体" w:hAnsi="Times New Roman" w:cs="黑体" w:hint="eastAsia"/>
          <w:sz w:val="32"/>
          <w:szCs w:val="32"/>
        </w:rPr>
        <w:t>第十九条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通讯、电力、有线电视、供暖、给排水、消防等公益性基础设施建设需要在老城区挖掘道路的，应当向老城区保护机构提出申请，并附修复方案，经同意后办理相关手续。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5" w:name="第二十条"/>
      <w:bookmarkEnd w:id="25"/>
      <w:r>
        <w:rPr>
          <w:rFonts w:ascii="Times New Roman" w:eastAsia="黑体" w:hAnsi="Times New Roman" w:cs="黑体" w:hint="eastAsia"/>
          <w:sz w:val="32"/>
          <w:szCs w:val="32"/>
        </w:rPr>
        <w:t>第二十条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在老城区内推广使用清洁能源；所有排烟装置应当采取消烟除尘措施。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6" w:name="第二十一条"/>
      <w:bookmarkEnd w:id="26"/>
      <w:r>
        <w:rPr>
          <w:rFonts w:ascii="Times New Roman" w:eastAsia="黑体" w:hAnsi="Times New Roman" w:cs="黑体" w:hint="eastAsia"/>
          <w:sz w:val="32"/>
          <w:szCs w:val="32"/>
        </w:rPr>
        <w:t>第二十一条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老城区保护机构应当加强垃圾网点的标准化建设，推行生活垃圾分类和袋装化，实行定时定点清理。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7" w:name="第二十二条"/>
      <w:bookmarkEnd w:id="27"/>
      <w:r>
        <w:rPr>
          <w:rFonts w:ascii="Times New Roman" w:eastAsia="黑体" w:hAnsi="Times New Roman" w:cs="黑体" w:hint="eastAsia"/>
          <w:sz w:val="32"/>
          <w:szCs w:val="32"/>
        </w:rPr>
        <w:t>第二十二条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老城区内不得有下列影响老城区市容环境卫生和人身安全的行为：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（一）随意丢弃垃圾；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（二）随地吐痰、便溺；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（三）乱倒、乱排污水；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（四）焚烧垃圾或者其他废弃物；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（五）设置宣传促销摊点，发放促销传单；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（六）使用高音喇叭及其他噪音扰民行为；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（七）损害市政公共设施及绿地、道路等；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（八）占道经营、堆物作业等；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（九）户外放养宠物或者畜禽；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（十）燃放、生产、经营、存储烟花爆竹等易燃易爆物品；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（十一）其他有损市容环境卫生的行为。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8" w:name="第二十三条"/>
      <w:bookmarkEnd w:id="28"/>
      <w:r>
        <w:rPr>
          <w:rFonts w:ascii="Times New Roman" w:eastAsia="黑体" w:hAnsi="Times New Roman" w:cs="黑体" w:hint="eastAsia"/>
          <w:sz w:val="32"/>
          <w:szCs w:val="32"/>
        </w:rPr>
        <w:t>第二十三条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在老城区内从事经营活动的单位和个人，不得有下列行为：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（一）不按照规定的时间、地点经营的；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（二）利用各种形式追客、拉客、宰客的；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（三）所销售商品及服务未明码标价的。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9" w:name="第二十四条"/>
      <w:bookmarkEnd w:id="29"/>
      <w:r>
        <w:rPr>
          <w:rFonts w:ascii="Times New Roman" w:eastAsia="黑体" w:hAnsi="Times New Roman" w:cs="黑体" w:hint="eastAsia"/>
          <w:sz w:val="32"/>
          <w:szCs w:val="32"/>
        </w:rPr>
        <w:t>第二十四条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老城区内应当按照国家现行消防技术标准建设完善消防给水、消防通道、消防通信等公共消防设施。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30" w:name="第四章 利用"/>
      <w:bookmarkEnd w:id="30"/>
      <w:r>
        <w:rPr>
          <w:rFonts w:ascii="Times New Roman" w:eastAsia="黑体" w:hAnsi="Times New Roman" w:cs="黑体" w:hint="eastAsia"/>
          <w:szCs w:val="32"/>
        </w:rPr>
        <w:t>第四章　利　　用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1" w:name="第二十五条"/>
      <w:bookmarkEnd w:id="31"/>
      <w:r>
        <w:rPr>
          <w:rFonts w:ascii="Times New Roman" w:eastAsia="黑体" w:hAnsi="Times New Roman" w:cs="黑体" w:hint="eastAsia"/>
          <w:sz w:val="32"/>
          <w:szCs w:val="32"/>
        </w:rPr>
        <w:t>第二十五条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拉萨市人民政府应当对老城区的经营活动进行指导和监督，发布鼓励或者禁止经营的项目目录，重点发展具有当地民族特色的无污染、无公害产业，保持老城区的传统文化特色。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老城区保护机构根据项目目录，合理安排老城区内商品经营市场布局，并予以公告。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2" w:name="第二十六条"/>
      <w:bookmarkEnd w:id="32"/>
      <w:r>
        <w:rPr>
          <w:rFonts w:ascii="Times New Roman" w:eastAsia="黑体" w:hAnsi="Times New Roman" w:cs="黑体" w:hint="eastAsia"/>
          <w:sz w:val="32"/>
          <w:szCs w:val="32"/>
        </w:rPr>
        <w:t>第二十六条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老城区内鼓励从事下列经营项目：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（一）开办工艺品陈列室、展览馆、博物馆等文化旅游场馆；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（二）无污染传统民间工艺品及旅游产品制作；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（三）开办民俗客栈、旅馆、饭店等服务场所；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（四）开发传统饮食业、开展娱乐业及民间艺术表演；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（五）民间工艺品收藏、交易、展示；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（六）其他应当鼓励的经营项目。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3" w:name="第二十七条"/>
      <w:bookmarkEnd w:id="33"/>
      <w:r>
        <w:rPr>
          <w:rFonts w:ascii="Times New Roman" w:eastAsia="黑体" w:hAnsi="Times New Roman" w:cs="黑体" w:hint="eastAsia"/>
          <w:sz w:val="32"/>
          <w:szCs w:val="32"/>
        </w:rPr>
        <w:t>第二十七条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老城区内的店铺招牌、门面装修、照明灯具等应当与老城区风貌、氛围相协调。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老城区保护区内门牌、街道名称、旅游标志、保护标志、店铺招牌等应当使用藏、汉两种文字。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4" w:name="第二十八条"/>
      <w:bookmarkEnd w:id="34"/>
      <w:r>
        <w:rPr>
          <w:rFonts w:ascii="Times New Roman" w:eastAsia="黑体" w:hAnsi="Times New Roman" w:cs="黑体" w:hint="eastAsia"/>
          <w:sz w:val="32"/>
          <w:szCs w:val="32"/>
        </w:rPr>
        <w:t>第二十八条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对老城区内的传统民居不得有下列行为：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（一）私自拆改、架设电线；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（二）在公共用地或房顶上搭建建（构）筑物；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（三）在外观墙壁、梁柱、门窗上涂写、刻画、张贴、悬挂物品；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（四）其他破坏传统民居的行为。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老城区内传统民居所有权人利用传统民居进行经营活动的，应当向老城区保护机构备案。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5" w:name="第二十九条"/>
      <w:bookmarkEnd w:id="35"/>
      <w:r>
        <w:rPr>
          <w:rFonts w:ascii="Times New Roman" w:eastAsia="黑体" w:hAnsi="Times New Roman" w:cs="黑体" w:hint="eastAsia"/>
          <w:sz w:val="32"/>
          <w:szCs w:val="32"/>
        </w:rPr>
        <w:t>第二十九条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在老城区公共场所举行的各类群众性活动，组织者在活动举行前应当征得老城区保护机构的同意。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6" w:name="第三十条"/>
      <w:bookmarkEnd w:id="36"/>
      <w:r>
        <w:rPr>
          <w:rFonts w:ascii="Times New Roman" w:eastAsia="黑体" w:hAnsi="Times New Roman" w:cs="黑体" w:hint="eastAsia"/>
          <w:sz w:val="32"/>
          <w:szCs w:val="32"/>
        </w:rPr>
        <w:t>第三十条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拉萨市人民政府应当有计划地将老城区内的单位向新城区分流。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37" w:name="第五章 法律责任"/>
      <w:bookmarkEnd w:id="37"/>
      <w:r>
        <w:rPr>
          <w:rFonts w:ascii="Times New Roman" w:eastAsia="黑体" w:hAnsi="Times New Roman" w:cs="黑体" w:hint="eastAsia"/>
          <w:szCs w:val="32"/>
        </w:rPr>
        <w:t>第五章　法律责任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8" w:name="第三十一条"/>
      <w:bookmarkEnd w:id="38"/>
      <w:r>
        <w:rPr>
          <w:rFonts w:ascii="Times New Roman" w:eastAsia="黑体" w:hAnsi="Times New Roman" w:cs="黑体" w:hint="eastAsia"/>
          <w:sz w:val="32"/>
          <w:szCs w:val="32"/>
        </w:rPr>
        <w:t>第三十一条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违反本条例第十二条规定的，由老城区保护机构责令恢复原状，并处以5000元以上2万元以下的罚款。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9" w:name="第三十二条"/>
      <w:bookmarkEnd w:id="39"/>
      <w:r>
        <w:rPr>
          <w:rFonts w:ascii="Times New Roman" w:eastAsia="黑体" w:hAnsi="Times New Roman" w:cs="黑体" w:hint="eastAsia"/>
          <w:sz w:val="32"/>
          <w:szCs w:val="32"/>
        </w:rPr>
        <w:t>第三十二条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违反本条例第十四条第一款规定的，由老城区保护机构责令改正、恢复原状，并对个人处以500元以上1000元以下的罚款，对单位处以2000元以上1万元以下的罚款。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0" w:name="第三十三条"/>
      <w:bookmarkEnd w:id="40"/>
      <w:r>
        <w:rPr>
          <w:rFonts w:ascii="Times New Roman" w:eastAsia="黑体" w:hAnsi="Times New Roman" w:cs="黑体" w:hint="eastAsia"/>
          <w:sz w:val="32"/>
          <w:szCs w:val="32"/>
        </w:rPr>
        <w:t>第三十三条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违反本条例第十七条规定的，由老城区保护机构责令其恢复原状，并对个人处以500元以上1000元以下的罚款，对单位处以5000元以上2万元以下的罚款。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1" w:name="第三十四条"/>
      <w:bookmarkEnd w:id="41"/>
      <w:r>
        <w:rPr>
          <w:rFonts w:ascii="Times New Roman" w:eastAsia="黑体" w:hAnsi="Times New Roman" w:cs="黑体" w:hint="eastAsia"/>
          <w:sz w:val="32"/>
          <w:szCs w:val="32"/>
        </w:rPr>
        <w:t>第三十四条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违反本条例第十九条规定的，由老城区保护机构责令恢复原状，并处以2000元以上1万元以下的罚款。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2" w:name="第三十五条"/>
      <w:bookmarkEnd w:id="42"/>
      <w:r>
        <w:rPr>
          <w:rFonts w:ascii="Times New Roman" w:eastAsia="黑体" w:hAnsi="Times New Roman" w:cs="黑体" w:hint="eastAsia"/>
          <w:sz w:val="32"/>
          <w:szCs w:val="32"/>
        </w:rPr>
        <w:t>第三十五条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违反本条例第二十二条第（一）、（二）、（三）、（四）、（五）、（六）、（七）、（八）、（九）、（十一）项规定的，由老城区保护机构给予警告，责令改正，并处以50元以上200元以下的罚款。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违反本条例第二十二条第（十）项规定的，由消防部门依照相关法律法规，依法予以处罚。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3" w:name="第三十六条"/>
      <w:bookmarkEnd w:id="43"/>
      <w:r>
        <w:rPr>
          <w:rFonts w:ascii="Times New Roman" w:eastAsia="黑体" w:hAnsi="Times New Roman" w:cs="黑体" w:hint="eastAsia"/>
          <w:sz w:val="32"/>
          <w:szCs w:val="32"/>
        </w:rPr>
        <w:t>第三十六条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违反本条例第二十三条规定，情节轻微的，由老城区保护机构给予警告，情节严重的，由有关部门依法予以处罚。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4" w:name="第三十七条"/>
      <w:bookmarkEnd w:id="44"/>
      <w:r>
        <w:rPr>
          <w:rFonts w:ascii="Times New Roman" w:eastAsia="黑体" w:hAnsi="Times New Roman" w:cs="黑体" w:hint="eastAsia"/>
          <w:sz w:val="32"/>
          <w:szCs w:val="32"/>
        </w:rPr>
        <w:t>第三十七条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违反本条例第二十七条第一款规定的，由老城区保护机构责令改正。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5" w:name="第三十八条"/>
      <w:bookmarkEnd w:id="45"/>
      <w:r>
        <w:rPr>
          <w:rFonts w:ascii="Times New Roman" w:eastAsia="黑体" w:hAnsi="Times New Roman" w:cs="黑体" w:hint="eastAsia"/>
          <w:sz w:val="32"/>
          <w:szCs w:val="32"/>
        </w:rPr>
        <w:t>第三十八条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违反本条例第二十八条第一款规定的，由老城区保护机构责令其恢复原状，对个人可处以100元以上500元以下的罚款，对单位可处以500元以上2000元以下的罚款。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6" w:name="第三十九条"/>
      <w:bookmarkEnd w:id="46"/>
      <w:r>
        <w:rPr>
          <w:rFonts w:ascii="Times New Roman" w:eastAsia="黑体" w:hAnsi="Times New Roman" w:cs="黑体" w:hint="eastAsia"/>
          <w:sz w:val="32"/>
          <w:szCs w:val="32"/>
        </w:rPr>
        <w:t>第三十九条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违反文物保护法律法规的，由文物保护行政主管部门依法予以处罚。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7" w:name="第四十条"/>
      <w:bookmarkEnd w:id="47"/>
      <w:r>
        <w:rPr>
          <w:rFonts w:ascii="Times New Roman" w:eastAsia="黑体" w:hAnsi="Times New Roman" w:cs="黑体" w:hint="eastAsia"/>
          <w:sz w:val="32"/>
          <w:szCs w:val="32"/>
        </w:rPr>
        <w:t>第四十条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老城区保护机构工作人员在工作中玩忽职守、徇私舞弊、滥用职权的，依法给予行政处分；涉嫌犯罪的，移交司法机关处理。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jc w:val="center"/>
        <w:rPr>
          <w:rFonts w:ascii="Times New Roman" w:eastAsia="黑体" w:hAnsi="Times New Roman" w:cs="黑体"/>
          <w:szCs w:val="32"/>
        </w:rPr>
      </w:pPr>
      <w:bookmarkStart w:id="48" w:name="第六章 附则"/>
      <w:bookmarkEnd w:id="48"/>
      <w:r>
        <w:rPr>
          <w:rFonts w:ascii="Times New Roman" w:eastAsia="黑体" w:hAnsi="Times New Roman" w:cs="黑体" w:hint="eastAsia"/>
          <w:szCs w:val="32"/>
        </w:rPr>
        <w:t>第六章　附　　则</w:t>
      </w:r>
    </w:p>
    <w:p>
      <w:pPr>
        <w:rPr>
          <w:rFonts w:ascii="Times New Roman" w:eastAsia="宋体" w:hAnsi="Times New Roman" w:cs="宋体"/>
          <w:szCs w:val="32"/>
        </w:rPr>
      </w:pP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9" w:name="第四十一条"/>
      <w:bookmarkEnd w:id="49"/>
      <w:r>
        <w:rPr>
          <w:rFonts w:ascii="Times New Roman" w:eastAsia="黑体" w:hAnsi="Times New Roman" w:cs="黑体" w:hint="eastAsia"/>
          <w:sz w:val="32"/>
          <w:szCs w:val="32"/>
        </w:rPr>
        <w:t>第四十一条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本条例自2013年10月1日起施行。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