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放射性药品管理办法"/>
      <w:bookmarkEnd w:id="0"/>
      <w:r>
        <w:rPr>
          <w:rFonts w:ascii="方正小标宋简体" w:eastAsia="方正小标宋简体" w:hAnsi="方正小标宋简体" w:cs="方正小标宋简体" w:hint="eastAsia"/>
          <w:color w:val="333333"/>
          <w:sz w:val="44"/>
          <w:szCs w:val="44"/>
          <w:shd w:val="clear" w:color="auto" w:fill="FFFFFF"/>
        </w:rPr>
        <w:t>放射性药品管理办法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（1989年1月13日中华人民共和国国务院令第25号发布　根据2011年1月8日《国务院关于废止和修改部分行政法规的决定》第一次修订　根据2017年3月1日《国务院关于修改和废止部分行政法规的决定》第二次修订　根据2022年3月29日《国务院关于修改和废止部分行政法规的决定》第三次修订　根据2024年12月6日《国务院关于修改和废止部分行政法规的决定》第四次修订）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为了加强放射性药品的管理，根据《中华人民共和国药品管理法》（以下称《药品管理法》）的规定，制定本办法。</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放射性药品是指用于临床诊断或者治疗的放射性核素制剂或者其标记药物。</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凡在中华人民共和国领域内进行放射性药品的研究、生产、经营、运输、使用、检验、监督管理的单位和个人都必须遵守本办法。</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药品监督管理部门负责全国放射性药品监督管理工作。国务院国防科技工业主管部门依据职责负责与放射性药品有关的管理工作。国务院环境保护主管部门负责与放射性药品有关的辐射安全与防护的监督管理工作。</w:t>
      </w:r>
    </w:p>
    <w:p>
      <w:pPr>
        <w:rPr>
          <w:rFonts w:ascii="Times New Roman" w:eastAsia="宋体" w:hAnsi="Times New Roman" w:cs="宋体"/>
          <w:szCs w:val="32"/>
        </w:rPr>
      </w:pPr>
    </w:p>
    <w:p>
      <w:pPr>
        <w:jc w:val="center"/>
        <w:rPr>
          <w:rFonts w:ascii="Times New Roman" w:eastAsia="黑体" w:hAnsi="Times New Roman" w:cs="黑体"/>
          <w:szCs w:val="32"/>
        </w:rPr>
      </w:pPr>
      <w:bookmarkStart w:id="7" w:name="第二章 放射性新药的研制、临床研究和审批"/>
      <w:bookmarkEnd w:id="7"/>
      <w:r>
        <w:rPr>
          <w:rFonts w:ascii="Times New Roman" w:eastAsia="黑体" w:hAnsi="Times New Roman" w:cs="黑体" w:hint="eastAsia"/>
          <w:szCs w:val="32"/>
        </w:rPr>
        <w:t>第二章　放射性新药的研制、临床研究和审批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放射性新药的研制内容，包括工艺路线、质量标准、临床前药理及临床研究。研制单位在制订新药工艺路线的同时，必须研究该药的理化性能、纯度（包括核素纯度）及检验方法、药理、毒理、动物药代动力学、放射性比活度、剂量、剂型、稳定性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研制单位对放射免疫分析药盒必须进行可测限度、范围、特异性、准确度、精密度、稳定性等方法学的研究。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放射性新药的分类，按国务院药品监督管理部门有关药品注册的规定办理。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研制单位研制的放射性新药，在进行临床试验或者验证前，应当向国务院药品监督管理部门提出申请，按规定报送资料及样品，经国务院药品监督管理部门审批同意后，在国务院药品监督管理部门指定的药物临床试验机构进行临床研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研制单位在放射性新药临床研究结束后，向国务院药品监督管理部门提出申请，经国务院药品监督管理部门审核批准，发给新药证书。国务院药品监督管理部门在审核批准时，应当征求国务院国防科技工业主管部门的意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放射性新药投入生产，需由生产单位或者取得放射性药品生产许可证的研制单位，凭新药证书（副本）向国务院药品监督管理部门提出生产该药的申请，并提供样品，由国务院药品监督管理部门审核发给批准文号。</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三章 放射性药品的生产、经营和进出口"/>
      <w:bookmarkEnd w:id="12"/>
      <w:r>
        <w:rPr>
          <w:rFonts w:ascii="Times New Roman" w:eastAsia="黑体" w:hAnsi="Times New Roman" w:cs="黑体" w:hint="eastAsia"/>
          <w:szCs w:val="32"/>
        </w:rPr>
        <w:t>第三章　放射性药品的生产、经营和进出口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国家根据需要，对放射性药品的生产企业实行合理布局。</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开办放射性药品生产、经营企业，必须具备《药品管理法》规定的条件，符合国家有关放射性同位素安全和防护的规定与标准，并履行环境影响评价文件的审批手续；开办放射性药品生产企业，经所在省、自治区、直辖市国防科技工业主管部门审查同意，所在省、自治区、直辖市药品监督管理部门审核批准后，由所在省、自治区、直辖市药品监督管理部门发给《放射性药品生产企业许可证》；开办放射性药品经营企业，经所在省、自治区、直辖市药品监督管理部门审核并征求所在省、自治区、直辖市国防科技工业主管部门意见后批准的，由所在省、自治区、直辖市药品监督管理部门发给《放射性药品经营企业许可证》。无许可证的生产、经营企业，一律不准生产、销售放射性药品。</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放射性药品生产企业许可证》、《放射性药品经营企业许可证》的有效期为5年，期满前6个月，放射性药品生产、经营企业应当分别向原发证的药品监督管理部门重新提出申请，按第十条审批程序批准后，换发新证。</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放射性药品生产企业生产已有国家标准的放射性药品，必须经国务院药品监督管理部门征求国务院国防科技工业主管部门意见后审核批准，并发给批准文号。凡是改变国务院药品监督管理部门已批准的生产工艺路线和药品标准的，生产单位必须按原报批程序提出补充申请，经国务院药品监督管理部门批准后方能生产。</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放射性药品生产、经营企业，必须配备与生产、经营放射性药品相适应的专业技术人员，具有安全、防护和废气、废物、废水处理等设施，并建立严格的质量管理制度。</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放射性药品生产、经营企业，必须建立质量检验机构，严格实行生产全过程的质量控制和检验。产品出厂前，须经质量检验。符合国家药品标准的产品方可出厂，不符合标准的产品一律不准出厂。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国务院药品监督管理部门审核批准的含有短半衰期放射性核素的药品，可以边检验边出厂，但发现质量不符合国家药品标准时，该药品的生产企业应当立即停止生产、销售，并立即通知使用单位停止使用，同时报告国务院药品监督管理、卫生行政、国防科技工业主管部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进口的放射性药品品种，必须符合我国的药品标准或者其他药用要求，并依照《药品管理法》的规定取得进口药品注册证书。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进出口放射性药品，应当按照国家有关对外贸易、放射性同位素安全和防护的规定，办理进出口手续。</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进口放射性药品，必须经国务院药品监督管理部门指定的药品检验机构抽样检验；检验合格的，方准进口。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经国务院药品监督管理部门审核批准的含有短半衰期放射性核素的药品，在保证安全使用的情况下，可以采取边进口检验，边投入使用的办法。进口检验单位发现药品质量不符合要求时，应当立即通知使用单位停止使用，并报告国务院药品监督管理、卫生行政、国防科技工业主管部门。</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放射性药品的包装和运输"/>
      <w:bookmarkEnd w:id="21"/>
      <w:r>
        <w:rPr>
          <w:rFonts w:ascii="Times New Roman" w:eastAsia="黑体" w:hAnsi="Times New Roman" w:cs="黑体" w:hint="eastAsia"/>
          <w:szCs w:val="32"/>
        </w:rPr>
        <w:t>第四章　放射性药品的包装和运输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放射性药品的包装必须安全实用，符合放射性药品质量要求，具有与放射性剂量相适应的防护装置。包装必须分内包装和外包装两部分，外包装必须贴有商标、标签、说明书和放射性药品标志，内包装必须贴有标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标签必须注明药品品名、放射性比活度、装量。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说明书除注明前款内容外，还须注明生产单位、批准文号、批号、主要成份、出厂日期、放射性核素半衰期、适应症、用法、用量、禁忌症、有效期和注意事项等。</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放射性药品的运输，按国家运输、邮政等部门制订的有关规定执行。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严禁任何单位和个人随身携带放射性药品乘坐公共交通运输工具。</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五章 放射性药品的使用"/>
      <w:bookmarkEnd w:id="24"/>
      <w:r>
        <w:rPr>
          <w:rFonts w:ascii="Times New Roman" w:eastAsia="黑体" w:hAnsi="Times New Roman" w:cs="黑体" w:hint="eastAsia"/>
          <w:szCs w:val="32"/>
        </w:rPr>
        <w:t>第五章　放射性药品的使用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医疗单位设置核医学科、室（同位素室），必须配备与其医疗任务相适应的并经核医学技术培训的技术人员。非核医学专业技术人员未经培训，不得从事放射性药品使用工作。</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医疗单位使用放射性药品应当符合国家有关放射性同位素安全和防护的规定，具有与所使用放射性药品相适应的场所、设备、卫生环境和专用的仓储设施。</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医疗单位配制放射性制剂，应当符合《药品管理法》及其实施条例的相关规定。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医疗单位使用配制的放射性制剂，应当向所在地省、自治区、直辖市药品监督管理部门申请核发相应等级的《放射性药品使用许可证》。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《放射性药品使用许可证》有效期为5年，期满前6个月，医疗单位应当向原发证的行政部门重新提出申请，经审核批准后，换发新证。</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医疗单位负责对使用的放射性药品进行临床质量检验、收集药品不良反应等项工作，并定期向所在地药品监督管理、卫生行政部门报告。由省、自治区、直辖市药品监督管理、卫生行政部门汇总后分别报国务院药品监督管理、卫生行政部门。</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放射性药品使用后的废物（包括患者排出物），必须按国家有关规定妥善处置。</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六章 放射性药品标准和检验"/>
      <w:bookmarkEnd w:id="30"/>
      <w:r>
        <w:rPr>
          <w:rFonts w:ascii="Times New Roman" w:eastAsia="黑体" w:hAnsi="Times New Roman" w:cs="黑体" w:hint="eastAsia"/>
          <w:szCs w:val="32"/>
        </w:rPr>
        <w:t>第六章　放射性药品标准和检验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放射性药品的国家标准，由国务院药品监督管理部门药典委员会负责制定和修订，报国务院药品监督管理部门审批颁发。</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放射性药品的检验由国务院药品监督管理部门公布的药品检验机构承担。</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七章 附则"/>
      <w:bookmarkEnd w:id="3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对违反本办法规定的单位或者个人，由县以上药品监督管理、卫生行政部门，按照《药品管理法》和有关法规的规定处罚。</w:t>
      </w:r>
    </w:p>
    <w:p>
      <w:pPr>
        <w:ind w:firstLine="640" w:firstLineChars="200"/>
        <w:rPr>
          <w:rFonts w:ascii="Times New Roman" w:hAnsi="Times New Roman" w:cs="仿宋_GB2312"/>
          <w:sz w:val="32"/>
          <w:szCs w:val="32"/>
        </w:rPr>
      </w:pPr>
      <w:bookmarkStart w:id="35" w:name="第二十七条"/>
      <w:bookmarkEnd w:id="35"/>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本办法自发布之日起施行。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