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新疆维吾尔自治区实施</w:t>
      </w:r>
    </w:p>
    <w:p>
      <w:pPr>
        <w:jc w:val="center"/>
      </w:pPr>
      <w:r>
        <w:rPr>
          <w:rFonts w:ascii="宋体" w:hAnsi="宋体" w:eastAsia="宋体"/>
          <w:sz w:val="44"/>
        </w:rPr>
        <w:t>《中华人民共和国水法》办法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（1992年5月8日新疆维吾尔自治区第七届人民代表大会常务委员会第二十六次会议通过　2003年12月26日新疆维吾尔自治区第十届人民代表大会常务委员会第七次会议修订　根据2023年9月28日新疆维吾尔自治区第十四届人民代表大会常务委员会第五次会议《关于修改&lt;新疆维吾尔自治区实施《中华人民共和国水法》办法&gt;的决定》修正）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水资源规划和开发利用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水资源、水域和水工程的保护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水资源配置和节约使用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根据《中华人民共和国水法》，结合自治区实际，制定本办法。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在自治区行政区域内开发、利用、节约、保护、管理水资源，防治水害，适用本办法。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本办法所称水资源，包括地表水和地下水。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水资源属于国家所有。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取用水资源实行取水许可制度和有偿使用制度。法律、行政法规另有规定的，按其规定执行。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县级以上人民政府应当加强水利基础设施建设，将其纳入本级国民经济和社会发展计划，并采取有效措施节约和保护水资源，实现水资源的可持续利用。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自治区对水资源实行流域管理与行政区域管理相结合的管理体制，加强流域水资源的统一管理和科学调度。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自治区水行政主管部门负责全区水资源的统一管理和监督工作；州、市（地）、县（市）水行政主管部门按照规定的权限，负责本行政区域内水资源的统一管理和监督工作。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区水行政主管部门可以在自治区确定的重要河流、湖泊和跨州、市（地）的河流、湖泊设立流域管理机构，州、市（地）水行政主管部门可以在跨县（市）的河流、湖泊设立流域管理机构。流域管理机构在所管辖的范围内依其职责对水资源实施统一管理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自治区兵地水资源协调联系机制负责协调解决水资源开发、利用、保护中的重大问题，实行联合水行政监察制度。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县级以上人民政府其他有关部门按照职责分工，负责本行政区域内水资源开发、利用、节约和保护的有关工作。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县级以上人民政府水行政主管部门和流域管理机构应当建立水政监察制度，加强水政队伍建设，加强水事活动监督，履行法定职责，维护水事秩序。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ascii="黑体" w:hAnsi="黑体" w:eastAsia="黑体" w:cs="Times New Roman"/>
          <w:sz w:val="32"/>
        </w:rPr>
      </w:pPr>
      <w:r>
        <w:rPr>
          <w:rFonts w:ascii="黑体" w:hAnsi="黑体" w:eastAsia="黑体" w:cs="Times New Roman"/>
          <w:sz w:val="32"/>
        </w:rPr>
        <w:t>第二章　水资源规划和开发利用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自治区制定全区的水资源综合规划。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自治区确定的重要河流、湖泊和跨州、市（地）的河流、湖泊的流域综合规划由自治区水行政主管部门会同同级有关部门和有关州、市（地）人民政府编制，报自治区人民政府批准。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其他河流、湖泊的流域综合规划和区域综合规划由州、市（地）、县（市）水行政主管部门会同同级有关部门和有关地方人民政府编制，经上一级水行政主管部门组织论证后，报本级人民政府批准。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防洪、灌溉、供水、水力发电、渔业、水资源保护、节约用水、水土保持、防沙治沙等专业规划由县级以上人民政府有关部门编制，征求同级其他有关部门意见后，报本级人民政府批准。其中，水行政主管部门编制的专业规划报批前应当经上一级水行政主管部门组织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流域范围内的区域规划应当服从流域规划，专业规划应当服从综合规划。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经批准的水资源综合规划、流域综合规划和区域综合规划应当报上一级水行政主管部门备案。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水资源规划应当适时修改，并按规定程序报批。规划一经批准，必须严格执行，任何单位和个人不得违背。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编制水资源规划，开发利用水资源，应当根据流域或区域生态环境状况和生态用水需求，确定生态用水比例，维持河流的合理流量和湖泊、地下水的合理水位，保护生态环境。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在生态环境脆弱的区域和已经出现河道断流、湖泊萎缩等生态问题的流域或区域，应当调整产业结构，从严控制非生态用水，增加生态用水，禁止开荒。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在河流、湖泊上建设水工程，其工程可行性研究报告报请批准前，由县级以上人民政府水行政主管部门或者有关流域管理机构按照自治区规定的管理权限，对水工程的建设是否符合水资源规划进行审查并签署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未经审查或者经审查不符合水资源规划的建设项目，有关部门不得批准。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县级以上人民政府应当增加投入，加强防洪、灌溉、发电、人畜饮水和生态用水等水利工程的建设。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在已发生和易发生盐碱化和渍害的灌区，应当改进灌排方式，控制地下水位，防治土壤盐碱化和渍害。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自治区鼓励单位和个人投资兴建水工程。水工程建设和管理实行谁投资、谁受益的原则，并依法保护投资人的合法权益。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引水、开采地下水、截（蓄）水、排水以及建设其他水资源开发利用项目，应当兼顾上下游、左右岸和有关各方的利益。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不同行政区域之间的边界河流、跨界河流上建设水资源开发利用项目，未经有关各方协商一致，并报经其共同的上一级人民政府水行政主管部门或者有关流域管理机构批准，任何一方不得单方面建设水资源开发利用项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ascii="黑体" w:hAnsi="黑体" w:eastAsia="黑体" w:cs="Times New Roman"/>
          <w:sz w:val="32"/>
        </w:rPr>
      </w:pPr>
      <w:r>
        <w:rPr>
          <w:rFonts w:ascii="黑体" w:hAnsi="黑体" w:eastAsia="黑体" w:cs="Times New Roman"/>
          <w:sz w:val="32"/>
        </w:rPr>
        <w:t>第三章　水资源、水域和水工程的保护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县级以上人民政府生态环境主管部门应当会同水行政主管部门和有关部门，对其管辖的河流、湖泊拟定水功能区划，报本级人民政府批准，并报上一级生态环境主管部门和水行政主管部门备案。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水功能区划应当划定水源保护区、工业用水区、农业用水区、渔业用水区、景观旅游用水区、生态用水区等。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水功能区划经批准后，应当划定水功能区界线、设置标志。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开发利用水资源、水域的活动以及向水体排污应当符合经批准的水功能区划的要求。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县级以上人民政府水行政主管部门应当加强对地下水开发利用的统一规划，合理开发利用地下水。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有关地方人民政府在地下水超采区应当压缩地下水开采量，逐步达到采补平衡；对地下水禁采区，在规定的期限内禁止兴建地下水取水工程，对原有的取水工程应当制定关停方案和水源替代方案。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在河流、湖泊新建、改建、扩大排污口，应当经有管辖权的水行政主管部门或者流域管理机构审查同意，由生态环境主管部门对该建设项目的环境影响报告书进行审批。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排入河流、湖泊等水域的废水、污水，应当符合水功能区划的要求和规定的排放标准。有管辖权的水行政主管部门或者流域管理机构应当进行监测和监督。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河道、湖泊和水工程的管理和保护范围按照下列规定确定：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（一）无堤防河道的管理范围为：有岸坎的为两岸岸坎以内的区域；无岸坎的为河道设计洪水位或者历史最高洪水位线以内的区域；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有堤防河道的管理范围为：两岸堤防之间的水域、沙洲、滩地（包括可耕地）、行洪区、堤防及护堤地。护堤地宽度为自外脚线向外计起，年径流量在1亿立方米以上的，20－50米；年径流量在1亿立方米以下的，15－30米以内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（三）水库、大坝、溢洪道、水电站、渠道、水利枢纽等水工程设施的管理和保护范围，按照自治区人民政府制定的具体标准执行。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河道、湖泊和水工程的管理和保护范围，由有关水行政主管部门或者流域管理机构、水工程管理单位勘查并提出方案，报县级以上人民政府批准。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在河道管理范围内建设桥梁、码头、闸坝和其他拦河、跨河、穿河、穿堤、临河建筑物、构筑物，铺设管道、电缆等建设工程，应当符合国家规定的防洪标准和其他有关的要求，按照《中华人民共和国防洪法》的有关规定报经有管辖权的水行政主管部门或流域管理机构审查同意，方可办理其他建设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利用河流、湖泊等水域从事旅游开发和养殖等经营活动，应当在有管辖权的水行政主管部门或者流域管理机构规定的区域内进行，并采取措施对废水、固体废弃物等污染物进行处理，达到水功能区划和水资源保护的要求，防止对水体的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河道采砂实行采砂许可制度。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水行政主管部门或者流域管理机构应当根据河道行洪和堤防安全的需要，制定河道采砂规划，划定可采区、禁采区，规定可采期、禁采期，并予以公告。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在河道管理范围内进行采砂、取土、采石、淘金等活动，应当符合规划，并向有管辖权的水行政主管部门或流域管理机构依法申请许可；涉及其他部门的，会同有关部门依法办理。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ascii="黑体" w:hAnsi="黑体" w:eastAsia="黑体" w:cs="Times New Roman"/>
          <w:sz w:val="32"/>
        </w:rPr>
      </w:pPr>
      <w:r>
        <w:rPr>
          <w:rFonts w:ascii="黑体" w:hAnsi="黑体" w:eastAsia="黑体" w:cs="Times New Roman"/>
          <w:sz w:val="32"/>
        </w:rPr>
        <w:t>第四章　水资源配置和节约使用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自治区发展改革主管部门和自治区水行政主管部门负责全区水资源的宏观调配。自治区和跨州、市（地）的水中长期供求规划，由自治区水行政主管部门会同有关部门制订，经自治区发展改革主管部门审查批准后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州、市（地）和县（市）水中长期供求规划，由当地水行政主管部门会同同级有关部门依据上一级水中长期供求规划和本地区的实际情况制订，经本级人民政府发展改革主管部门审查批准后执行。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调蓄径流和分配水量，应当依据流域规划和水中长期供求规划，以流域为单元制定水量分配方案。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水量分配方案应当合理安排生态用水。因生态治理需要，可以按照原批准程序对已经制定的水量分配方案进行调整。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跨行政区域河流的水量分配方案和旱情紧急情况下的水量调度预案，由其共同的上一级水行政主管部门或者有关流域管理机构会同有关地方人民政府编制，报本级人民政府批准。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县级以上人民政府水行政主管部门或者流域管理机构应当根据批准的水量分配方案和年度预测来水量，制定年度水量分配方案和调度计划，实施水量统一调度并进行考核；对超计划用水的加倍扣回超用水量。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流域年度水量分配方案和调度计划，有关用水单位应当执行。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区域的年度水量分配方案和调度计划应当依据流域的年度水量分配方案和调度计划制订。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直接从河流、湖泊或者地下取用水资源的（含水力、火力发电取用水），应当依法向县级以上人民政府水行政主管部门或者流域管理机构申请取水许可，并缴纳水资源费。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建设单位新建、改建、扩建建设项目申请取水许可的，应当同时提交水资源论证报告。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县级以上人民政府水行政主管部门应当根据水资源供需变化、技术进步和经济社会发展水平，确定不同时期全社会节水目标，建立和完善节水制度，加强对节水工作的领导，发展节水型农业、工业和服务业，建设节水型社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各级人民政府应当因地制宜推广节水灌溉技术，加快现有工程的节水改造，用水单位和个人应当积极应用节水灌溉技术，采用节水栽培技术，积极发展节水型高效农业和生态农业。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工业企业应当加强节水技术改造，淘汰落后工艺和设备，降低水的消耗，提高水的重复利用率。水行政主管部门应当组织用水单位开展水平衡测试，考核企业用水水平，挖掘企业节水潜力。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城市公共设施与民用建筑应当使用节水型器具和设备。城市人民政府应当采取措施，推行中水利用、提高污水再生利用率。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新建、改建、扩建需要取用水的建设项目，应当配套建设节水设施，推广使用节水新技术、新设备、新工艺、新产品。节水设施应当与建设项目同时设计、同时施工、同时投入使用。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自治区人民政府有关行业主管部门应当制订行业用水定额，报同级水行政主管部门和市场监督管理部门审核同意后，由自治区人民政府公布，并报国务院水行政主管部门和市场监督管理部门备案。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单位和个人的用水计划应当根据用水定额核定，超定额或者超计划用水实行累进加价收费。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用水单位和个人应当安装符合规定的计量设施，并保证计量设施正常运行。无计量设施或者设施运行不正常的，可按用水设施的最大设计能力计算用水量。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县级以上人民政府应当制定有利于节约水资源和保护环境的水价政策。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农业水源转向城市、工业供水的，水价中应当附加农业节水补偿资金，专项用于农业节水。具体规定由自治区财政、发展改革和水行政主管部门制定。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农业供水推行配水到户，计量到户，按方收费。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使用水工程供应的水，应当向供水单位缴纳水费。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供水单位征收的水费应当定期公布。任何组织、单位和个人不得在水价之外加收其他任何费用。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水费应当按国家和自治区有关规定主要用于水工程的维护和运行管理，不得挪作他用。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ascii="黑体" w:hAnsi="黑体" w:eastAsia="黑体" w:cs="Times New Roman"/>
          <w:sz w:val="32"/>
        </w:rPr>
      </w:pPr>
      <w:r>
        <w:rPr>
          <w:rFonts w:ascii="黑体" w:hAnsi="黑体" w:eastAsia="黑体" w:cs="Times New Roman"/>
          <w:sz w:val="32"/>
        </w:rPr>
        <w:t>第五</w:t>
      </w:r>
      <w:bookmarkStart w:id="0" w:name="_GoBack"/>
      <w:r>
        <w:rPr>
          <w:rFonts w:ascii="黑体" w:hAnsi="黑体" w:eastAsia="黑体" w:cs="Times New Roman"/>
          <w:sz w:val="32"/>
        </w:rPr>
        <w:t>章　</w:t>
      </w:r>
      <w:bookmarkEnd w:id="0"/>
      <w:r>
        <w:rPr>
          <w:rFonts w:ascii="黑体" w:hAnsi="黑体" w:eastAsia="黑体" w:cs="Times New Roman"/>
          <w:sz w:val="32"/>
        </w:rPr>
        <w:t>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水行政主管部门或者其他有关部门以及水工程管理单位及其工作人员，有下列情形之一的，对直接负责的主管人员和其他责任人员给予行政处分；情节严重，构成犯罪的，依法追究刑事责任：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（一）对不符合法定条件的单位或个人核发许可证、签署审查同意意见，或者予以批准的；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（二）不按规定征收水资源费等费用的；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（三）违反规定在禁止开荒区域批准开荒的；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（四）不按照水量分配方案分配水量或者对违规开荒供水的；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（五）不履行监督职责，或者发现违法行为不予查处的；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（六）其他滥用职权、徇私舞弊的行为。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违反本办法第二十条规定，超出规定水域从事旅游开发和养殖等经营活动的，由县级以上人民政府水行政主管部门或者流域管理机构依据职权，责令其限期改正，逾期不改正的，处二万元以下罚款。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违反本办法第二十五条规定，未经许可在河流、湖泊上扒口设泵或者修筑临时设施擅自取水的，由县级以上人民政府水行政主管部门或者流域管理机构依据职权，责令停止违法行为，限期采取补救措施，处二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违反本办法规定，应当给予行政处罚的其他行为，依照《中华人民共和国水法》《中华人民共和国水污染防治法》和有关法律、法规的规定予以处罚。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Times New Roman" w:hAnsi="Times New Roman" w:eastAsia="仿宋_GB2312"/>
          <w:sz w:val="32"/>
        </w:rPr>
        <w:t>　本办法自2004年3月1日起施行。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2914E5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2023-11-10T13:46:26Z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