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70" w:rsidRDefault="00575E70" w:rsidP="00AA1AC0">
      <w:pPr>
        <w:adjustRightInd w:val="0"/>
        <w:snapToGrid w:val="0"/>
        <w:spacing w:line="560" w:lineRule="exact"/>
        <w:jc w:val="center"/>
        <w:rPr>
          <w:rFonts w:ascii="方正小标宋简体" w:eastAsia="方正小标宋简体" w:hAnsi="方正小标宋简体" w:cs="方正小标宋简体"/>
          <w:sz w:val="44"/>
          <w:szCs w:val="44"/>
        </w:rPr>
      </w:pPr>
      <w:bookmarkStart w:id="0" w:name="_GoBack"/>
      <w:bookmarkEnd w:id="0"/>
    </w:p>
    <w:p w:rsidR="00575E70" w:rsidRDefault="00575E70" w:rsidP="00AA1AC0">
      <w:pPr>
        <w:adjustRightInd w:val="0"/>
        <w:snapToGrid w:val="0"/>
        <w:spacing w:line="560" w:lineRule="exact"/>
        <w:jc w:val="center"/>
        <w:rPr>
          <w:rFonts w:ascii="方正小标宋简体" w:eastAsia="方正小标宋简体" w:hAnsi="方正小标宋简体" w:cs="方正小标宋简体"/>
          <w:sz w:val="44"/>
          <w:szCs w:val="44"/>
        </w:rPr>
      </w:pPr>
    </w:p>
    <w:p w:rsidR="00575E70" w:rsidRDefault="000B7AC1" w:rsidP="00AA1AC0">
      <w:pPr>
        <w:snapToGrid w:val="0"/>
        <w:spacing w:line="560" w:lineRule="exact"/>
        <w:jc w:val="center"/>
        <w:rPr>
          <w:rFonts w:ascii="方正小标宋简体" w:eastAsia="方正小标宋简体" w:hAnsi="方正小标宋简体" w:cs="方正小标宋简体"/>
          <w:sz w:val="44"/>
          <w:szCs w:val="44"/>
        </w:rPr>
      </w:pPr>
      <w:r>
        <w:rPr>
          <w:rFonts w:ascii="宋体" w:hAnsi="宋体" w:cs="宋体" w:hint="eastAsia"/>
          <w:bCs/>
          <w:sz w:val="44"/>
          <w:szCs w:val="44"/>
        </w:rPr>
        <w:t>新疆维吾尔自治区建筑市场管理条例</w:t>
      </w:r>
    </w:p>
    <w:p w:rsidR="00575E70" w:rsidRDefault="00575E70" w:rsidP="00AA1AC0">
      <w:pPr>
        <w:adjustRightInd w:val="0"/>
        <w:snapToGrid w:val="0"/>
        <w:spacing w:line="560" w:lineRule="exact"/>
        <w:ind w:rightChars="300" w:right="630"/>
        <w:rPr>
          <w:rFonts w:ascii="楷体" w:eastAsia="楷体" w:hAnsi="楷体" w:cs="楷体"/>
          <w:sz w:val="32"/>
          <w:szCs w:val="32"/>
        </w:rPr>
      </w:pPr>
    </w:p>
    <w:p w:rsidR="00575E70" w:rsidRDefault="000B7AC1" w:rsidP="0057215F">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（1998年9月25日新疆维吾尔自治区第九届人民代表大会常务委员会第五次会议通过  根据2002年7月26日新疆维吾尔自治区第九届人民代表大会常务委员会第二十九次会议通过的《新疆维吾尔自治区人大常委会关于修改〈新疆维吾尔自治区建筑市场管理条例〉的决定》修正  根据2005年5月27日新疆维吾尔自治区第十届人民代表大会常务委员会第十七次会议《关于修改&lt;新疆维吾尔自治区建筑市场管理条例〉的决定》第二次修正）</w:t>
      </w:r>
    </w:p>
    <w:p w:rsidR="00575E70" w:rsidRDefault="00575E70" w:rsidP="00AA1AC0">
      <w:pPr>
        <w:adjustRightInd w:val="0"/>
        <w:snapToGrid w:val="0"/>
        <w:spacing w:line="560" w:lineRule="exact"/>
        <w:ind w:leftChars="300" w:left="630" w:rightChars="300" w:right="630"/>
        <w:rPr>
          <w:rFonts w:ascii="楷体" w:eastAsia="黑体" w:hAnsi="楷体" w:cs="楷体"/>
          <w:sz w:val="32"/>
          <w:szCs w:val="32"/>
        </w:rPr>
      </w:pPr>
    </w:p>
    <w:p w:rsidR="00575E70" w:rsidRDefault="000B7AC1" w:rsidP="00AA1AC0">
      <w:pPr>
        <w:adjustRightInd w:val="0"/>
        <w:snapToGrid w:val="0"/>
        <w:spacing w:line="560" w:lineRule="exact"/>
        <w:jc w:val="center"/>
        <w:rPr>
          <w:rFonts w:eastAsia="黑体"/>
        </w:rPr>
      </w:pPr>
      <w:r>
        <w:rPr>
          <w:rFonts w:ascii="黑体" w:eastAsia="黑体" w:hAnsi="黑体" w:cs="黑体" w:hint="eastAsia"/>
          <w:sz w:val="32"/>
          <w:szCs w:val="32"/>
        </w:rPr>
        <w:t>第一章  总</w:t>
      </w:r>
      <w:r w:rsidR="00AA1AC0">
        <w:rPr>
          <w:rFonts w:ascii="黑体" w:eastAsia="黑体" w:hAnsi="黑体" w:cs="黑体" w:hint="eastAsia"/>
          <w:sz w:val="32"/>
          <w:szCs w:val="32"/>
        </w:rPr>
        <w:t xml:space="preserve">  </w:t>
      </w:r>
      <w:r>
        <w:rPr>
          <w:rFonts w:ascii="黑体" w:eastAsia="黑体" w:hAnsi="黑体" w:cs="黑体" w:hint="eastAsia"/>
          <w:sz w:val="32"/>
          <w:szCs w:val="32"/>
        </w:rPr>
        <w:t>则</w:t>
      </w:r>
    </w:p>
    <w:p w:rsidR="00575E70" w:rsidRDefault="00575E70" w:rsidP="00AA1AC0">
      <w:pPr>
        <w:snapToGrid w:val="0"/>
        <w:spacing w:line="560" w:lineRule="exact"/>
        <w:rPr>
          <w:rFonts w:eastAsia="黑体"/>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建筑市场，加强对建筑活动的监督管理，保护当事人的合法权益，确保建筑工程的质量和安全，促进建筑业健康发展，根据《中华人民共和国民族区域自治法》、《中华人民共和国建筑法》及有关法律、法规，结合自治区实际，制定本条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凡在自治区行政区域内从事建筑市场活动及其监</w:t>
      </w:r>
      <w:r>
        <w:rPr>
          <w:rFonts w:ascii="仿宋_GB2312" w:eastAsia="仿宋_GB2312" w:hAnsi="仿宋_GB2312" w:cs="仿宋_GB2312" w:hint="eastAsia"/>
          <w:sz w:val="32"/>
          <w:szCs w:val="32"/>
        </w:rPr>
        <w:lastRenderedPageBreak/>
        <w:t>督管理的单位和个人，均应遵守本条例。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本条例所称建筑市场，是指土木建筑、管线设备安装、建筑装饰装修等工程勘察、设计、施工的承发包、中介服务等建设经营活动及场所。</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从事建筑活动和实施对建筑活动的监督管理，应当遵循统一、开放、竞争、有序和公开、公平、公正的原则。禁止损害社会公共利益和他人的合法权益；禁止以投资渠道、工程专业性等为由，或者利用其他形式分割、封锁、垄断建筑市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建筑活动应当确保建筑工程质量和安全符合国家工程建设标准。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各级人民政府应当采取措施，积极扶持自治区建筑业的发展。建设行政主管部门及其他有关部门应当为自治区建筑业的发展创造良好的外部环境。</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自治区境内各类建筑工程的建设（含中央驻疆单位和直属企业所属专业工程），在同等条件下，应当优先使用自治区区内的建筑队伍。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鼓励和扶持开展具有民族风格、地方特色的建筑设计、科研活动，积极培养和使用少数民族建筑工程技术人员，提高我区民族、地方特色建筑物的建造能力和水平。</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自治区人民政府建设行政主管部门对全区建筑活动实施统一监督管理；县级以上人民政府建设行政主管部门依照其职责权限，对本行政区域内建筑活动实施监督管理。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有关专业管理部门依照法律、法规的规定，负责对本专业建筑工程项目的组织实施和监督。</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县级以上人民政府有关行政管理部门在各自的职责范围内，依法履行其相应的行政管理职能。</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任何单位和个人不得妨碍和阻挠依法进行的建筑活动。对建筑活动及其管理工作中违反法律、法规的行为，任何单位和个人均有权予以检举和揭发。</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第二章  建筑工程发包</w:t>
      </w:r>
    </w:p>
    <w:p w:rsidR="00575E70" w:rsidRDefault="00575E70" w:rsidP="00AA1AC0">
      <w:pPr>
        <w:adjustRightInd w:val="0"/>
        <w:snapToGrid w:val="0"/>
        <w:spacing w:line="560" w:lineRule="exact"/>
        <w:jc w:val="center"/>
        <w:rPr>
          <w:rFonts w:ascii="黑体" w:eastAsia="黑体" w:hAnsi="黑体" w:cs="黑体"/>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建设单位发包建筑工程，应当具备与其发包的建筑工程管理相适应的专业技术人员和管理人员。不具备条件的，应当委托建筑工程招标代理中介机构代理发包。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建筑工程勘察、设计和施工发包应当具备下列条件：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（一）勘察、设计发包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１、取得建筑工程项目的有关批准文件；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２、具备勘察、设计所需的基础资料；</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３、取得建设工程用地规划许可；</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４、法律、法规规定的其他条件。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（二）施工发包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１、初步设计和概算已经批准；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２、取得建设工程规划许可；</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３、具备施工所需的图纸和技术资料；</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４、取得有关部门对跨年建筑工程资金基本落实、当年竣工建筑工程资金全部落实的审核文件；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５、法律、法规规定的其他条件。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下列建筑工程必须依法通过招标发包方式择优选定承包单位：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（一）勘察及设计招标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１、城市重要地段和沿街的主要建筑、纪念性建筑和大型雕塑；</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２、规定限额以上的公共建筑和住宅工程；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３、大中型基础设施、公用事业等关系社会公共利益、公众安全的工程。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（二）施工、监理以及与工程建设有关的重要设备、材料等附属设备采购招标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１、使用国有资金投资或者国家融资的规定限额以上的建筑工程；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２、其他渠道投资用于大中型基础设施、公用事业等关系社会公共利益、公众安全的工程。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前款规定以外的其他建筑工程和保密等不适于招标发包的工程，建设单位可以直接发包。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依法必须招标的项目，全部使用国有资金投资或者国有资金投资占控股或主导地位的，应当公开招标。国务院发</w:t>
      </w:r>
      <w:r>
        <w:rPr>
          <w:rFonts w:ascii="仿宋_GB2312" w:eastAsia="仿宋_GB2312" w:hAnsi="仿宋_GB2312" w:cs="仿宋_GB2312" w:hint="eastAsia"/>
          <w:sz w:val="32"/>
          <w:szCs w:val="32"/>
        </w:rPr>
        <w:lastRenderedPageBreak/>
        <w:t>展计划部门和自治区人民政府确定的重点建筑工程项目不适宜公开招标的，经国务院发展计划部门或者自治区人民政府批准，可以进行邀请招标。其他任何部门、单位和个人不得擅自扩大邀请招标的范围，或者违反本条例第十条规定将应当招标发包的工程直接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外商独资、外国政府赠款、国际金融组织贷款和外商有特殊要求的中外合资、合作工程项目，依法采取国际惯例招标发包，也可按本条例有关规定实行招标发包。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招标发包应当符合下列基本程序：</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（一）招标方发布招标公告或者投标邀请书，组织编制资格预审文件、招标文件和工程标底，公布招标信息，对投标单位进行资格预审、组织现场踏勘；</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（二）投标方编制并递交投标文件；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（三）招标方组织开标、评标、定标，与中标方签订承包合同。</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建筑工程招标的开标、评标、定标由建设单位依法组织实施，并接受建设行政主管部门及其他有关部门的监督。</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招标方编制招标文件和工程标底应当公正、科学、合法。评标、定标应当按照招标文件规定的评标标准和程序，对标书中提出的投标单位的报价、工期、主要材料用量、施工方案、质量实绩、企业信誉等进行综合评价、比较，在具备相应条件的投标者中择优选定中标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提倡对建筑工程实行总承包，禁止将建筑工程肢解发包。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发包方将勘察设计平行发包给几个勘察设计单位的，必须选定一个勘察设计单位作为主设计单位，负责整个工程项目勘察设计的总体协调。</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建筑工程中，除单独设计的工艺技术性较强的专业部分和规定限额以上的装饰装修工程外，发包方不得将应当由一个承包单位完成的单体工程的施工肢解成若干部分发包给几个承包单位。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发包方不得实施下列行为：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（一）将建筑工程发包给不具有相应资质等级和业务范围的承包单位；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（二）索要、收受贿赂、回扣或者其他好处，要求承包方垫资承包或者附加其他不合理条件发包工程；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（三）将应当招标发包的工程直接发包或者采取化整为零的方式规避招标；将应当公开招标发包的工程邀请招标发包；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（四）将投标人的设计方案和有关资料泄漏或提供给其他投标人，或者与投标人串通进行虚假招标；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（五）强令总承包单位实施分包，或者限定总承包单位将工程发包给指定的分包单位；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（六）擅自修改勘察设计文件、图纸，明示或者暗示承包方、中介服务机构违反法律、法规和工程建设标准、规范进行勘察、设计、施工和中介服务；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（七）违反合同约定，明示或者暗示承包单位购入指定的建筑材料、构配件和设备或者指定生产、供应厂商；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（八）以部门、系统、地域划分，或者超出法律、法规规定设定审查条件，限制、排斥潜在投标人投标，或者对潜在投标人实行歧视待遇；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（九）法律、法规禁止实施的其他行为。</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第三章  建筑工程承包</w:t>
      </w:r>
    </w:p>
    <w:p w:rsidR="00575E70" w:rsidRDefault="00575E70" w:rsidP="00AA1AC0">
      <w:pPr>
        <w:snapToGrid w:val="0"/>
        <w:spacing w:line="560" w:lineRule="exact"/>
        <w:jc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从事建筑工程承包活动的单位应当持有依法取得的资质证书，并在其资质等级许可的业务范围内承揽建筑工程。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区外勘察、设计、施工、监理单位在自治区境内从事建筑活动的，应当持资质证书到自治区建设行政主管部门备案。</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大型建筑工程的勘察、设计、施工可以由两个以上具备相应资质的承包单位共同承包。共同承包的各方对承包合同的履行承担连带责任。区内外勘察、设计、施工单位共同承包建筑工程的，区外承包方应按本条例第十八条第二款规定办理有关手续。</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总承包单位依照总承包合同的约定或征得发包方同意，可以按下列方式对承包工程中的部分工程实施分包：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（一）勘察、设计总承包单位可以将总包工程中的某一专业或非主体部分的勘察、设计业务发包给具有相应资质等级的承包</w:t>
      </w:r>
      <w:r>
        <w:rPr>
          <w:rFonts w:ascii="仿宋_GB2312" w:eastAsia="仿宋_GB2312" w:hAnsi="仿宋_GB2312" w:cs="仿宋_GB2312" w:hint="eastAsia"/>
          <w:sz w:val="32"/>
          <w:szCs w:val="32"/>
        </w:rPr>
        <w:lastRenderedPageBreak/>
        <w:t>单位；</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（二）施工总承包单位可以将总包工程中工艺技术性较强的专业部分和规定限额以上的装饰装修工程发包给具有相应资质等级的承包单位，但建筑工程主体结构的施工必须自行完成。</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总承包单位按照总承包合同的约定对发包单位负责；分包单位按照分包合同的约定对总承包单位负责。总承包单位和分包单位就分包的建筑工程对发包单位承担连带责任。</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承包方不得实施下列行为：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（一）超越资质等级和业务范围承揽工程，或者使用其他单位的资质等级证书承揽工程，以及允许他人以本单位名义承揽工程；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（二）违反法律、法规规定分包工程或者将承包的工程全部转包他人；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（三）分包单位将其承包的工程再分包；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（四）勘察设计单位指定建筑材料、建筑构配件和设备的生产厂、供应商；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（五）串通投标，哄抬或压低标价，或者采用贿赂、给回扣和其他好处等可能影响公平竞争的手段承揽建筑工程；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（六）不按建筑工程质量、安全标准进行设计或者不按工程设计图纸、施工技术标准施工；</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（七）擅自修改、变更原设计，偷工减料，或者使用不符合质量标准的建筑材料、建筑构配件和设备；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（八）擅自进行涉及建筑主体或承重结构变动的改建、扩建、装饰装修活动；</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（九）法律、法规禁止实施的其他行为。</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第四章  建筑工程中介服务</w:t>
      </w:r>
    </w:p>
    <w:p w:rsidR="00575E70" w:rsidRDefault="00575E70" w:rsidP="00AA1AC0">
      <w:pPr>
        <w:snapToGrid w:val="0"/>
        <w:spacing w:line="560" w:lineRule="exact"/>
        <w:jc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建筑工程中介服务包括勘察设计咨询、造价咨询、招标代理、建设监理、工程质量检测、设备材料检验等有偿服务行为。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从事中介服务活动的单位必须依法取得相应从业资格和营业执照后，方可开展业务。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建筑工程中介服务应当遵守有关法律、法规，坚持诚实、信用、公正、科学的原则，严格履行委托合同约定的义务。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下列建筑工程项目必须实行监理：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（一）国家、自治区重点建设工程；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（二）大中型公用事业工程；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（三）规定限额以上的住宅工程；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（四）利用外国政府或者国际组织贷款、援助资金的工程；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（五）国家和自治区规定必须实行监理的其他工程。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中介服务机构不得实施下列行为：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（一）超越资质等级和服务范围承揽业务；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（二）与建筑工程的承包方或者材料、设备生产、供应方有隶属关系及其他利害关系，而对该工程进行监理；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（三）与承包方、发包方中一方有资产利益关系而接受另一方委托进行中介服务；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（四）采取串通、欺诈、贿赂等手段承接业务;</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（五）转让中介业务，炒卖工程信息，伪造、涂改有关文件、资料、图纸；</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（六）法律、法规禁止实施的其他行为。</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  建筑工程合同与造价</w:t>
      </w:r>
    </w:p>
    <w:p w:rsidR="00575E70" w:rsidRDefault="00575E70" w:rsidP="00AA1AC0">
      <w:pPr>
        <w:snapToGrid w:val="0"/>
        <w:spacing w:line="560" w:lineRule="exact"/>
        <w:jc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建筑工程发包、承包、中介服务应当使用或者参照使用国家制定的合同文本，签订书面合同，并报工商行政管理部门、建设行政主管部门或者其他有关部门备案。接受备案的部门对利用合同危害国家利益、社会公共利益的违法行为，应当依法予以查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实行招标发包的建筑工程，承包合同的主要内容应当与招标、中标文件相一致。实行分包的建筑工程，分包合同不得违反总承包合同。</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因合同约定的工作量发生变化，需要调整工程价款，或因合同约定的其他事项发生变化需要变更合同内容的，合同双方应当按照有关规定及时修改或补签合同。</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建筑工程造价应当以国家和自治区规定的工程量计算规则和计价方法为依据，按照工程专业类别，参照定额规定的消耗量和相应的取费标准计算，由发包、承包双方在合同中约定。</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工程造价管理部门应当定期发布人工、材料、机械台班等价格信息，公布工程造价调整系数和方法，指导发包、承包双方确定工程概算、预算和决算，并监督执行。</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建筑工程施工期限由承发包双方参照工期定额在建筑工程合同中约定。缩短工期应当科学合理，确保工程质量和施工安全，并由发包方向承包方支付提前工期所增加的费用。</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承发包双方应当严格履行依法签定的建筑工程合同，违约应当依法承担违约责任。</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发包方未按合同约定及时给付工程进度款的，承包方有权中止勘察、设计、施工等建筑活动；发包方未按合同约定支付工程价款的，承包方可以催告其限期支付；发包方逾期不支付的，除按照建筑工程性质不宜折价、拍卖的以外，承包方可以与发包方协议将建筑工程折价，也可以申请人民法院依法将建筑工程拍卖，承包方就该建筑工程折价、拍卖款优先受偿。</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承包单位未按合同约定的质量标准和工期完成承包任务的，发包方有权扣减工程款。</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建筑工程竣工结算应当在合同约定的期限内完成；没有约定期限的，应当在工程竣工验收后３个月内结算完</w:t>
      </w:r>
      <w:r>
        <w:rPr>
          <w:rFonts w:ascii="仿宋_GB2312" w:eastAsia="仿宋_GB2312" w:hAnsi="仿宋_GB2312" w:cs="仿宋_GB2312" w:hint="eastAsia"/>
          <w:sz w:val="32"/>
          <w:szCs w:val="32"/>
        </w:rPr>
        <w:lastRenderedPageBreak/>
        <w:t xml:space="preserve">毕。双方对工程结算有争议的，可以委托双方共同认可的建筑工程中介机构审核；对审核结果仍有争议的，应当以工程造价管理部门审定的结算为准。工程造价审核不得按审定的结算差价收取费用或者提取奖励金。 </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第六章  建筑工程质量与安全</w:t>
      </w:r>
    </w:p>
    <w:p w:rsidR="00575E70" w:rsidRDefault="00575E70" w:rsidP="00AA1AC0">
      <w:pPr>
        <w:snapToGrid w:val="0"/>
        <w:spacing w:line="560" w:lineRule="exact"/>
        <w:jc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建筑工程勘察、设计、施工、材料设备的质量和施工安全，应当符合法律、法规和有关的工程技术标准、质量验评标准，达到设计文件和承包合同对工程质量、安全的要求。</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建设行政主管部门、有关专业管理部门和工程质量安全监督管理机构，应当加强对建筑工程质量和施工安全生产的管理，监督从事建筑活动的单位和个人依法、规范经营。具体管理办法由自治区人民政府制定。</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设单位在工程开工前，应当依法办理施工图设计文件审查、工程质量安全监督等手续，组织设计、施工单位进行设计交底和图纸会审；对施工过程中的工程质量进行检查，收到建设工程竣工报告后，及时组织工程竣工验收。</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建筑工程承包单位应当完善内部质量保证体系，严格按照工程技术标准、规范和施工组织设计进行施工，确保工程质量和施工安全。</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用于建筑工程的建筑材料、构配件和设备必须</w:t>
      </w:r>
      <w:r>
        <w:rPr>
          <w:rFonts w:ascii="仿宋_GB2312" w:eastAsia="仿宋_GB2312" w:hAnsi="仿宋_GB2312" w:cs="仿宋_GB2312" w:hint="eastAsia"/>
          <w:sz w:val="32"/>
          <w:szCs w:val="32"/>
        </w:rPr>
        <w:lastRenderedPageBreak/>
        <w:t>符合产品质量标准和设计要求。建材产品的生产、供应单位应当提供合格产品，并对产品的质量负责。</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建设单位按照工程承包合同的约定负责供应建筑材料、构配件和设备的，其质量应当符合国家规定的质量标准。</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建筑企业对用于建筑工程的建筑材料、构配件和设备必须进行检验，未经检验或检验不合格的不得使用。</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禁止任何单位和个人利用职权强令承包方使用指定厂家的建筑材料、构配件和设备。</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凡涉及建筑工程主体和承重结构变动的加层、改造和装饰装修工程，建设单位应当在施工前委托原设计单位或者具有相应资质条件的设计单位提出设计方案，没有设计方案的不得施工。</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交付使用的建筑工程应当符合工程质量标准，达到设计文件和建筑工程合同规定的质量要求。经验收不合格的建筑工程不得交付使用，承包单位应当负责返修，对不符合结构安全要求的，应予处理。返修费用和因此造成的经济损失由责任方承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交付竣工验收的建筑工程，承包方应当向建设单位提供完整的工程技术档案、竣工图和经签署的工程保修书，并提供有关工程使用、保养、维护的说明；建设单位应当依法办理建筑工程竣工备案手续，移交工程建设档案。</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建筑工程实行质量保修制度。保修期限按照《建</w:t>
      </w:r>
      <w:r>
        <w:rPr>
          <w:rFonts w:ascii="仿宋_GB2312" w:eastAsia="仿宋_GB2312" w:hAnsi="仿宋_GB2312" w:cs="仿宋_GB2312" w:hint="eastAsia"/>
          <w:sz w:val="32"/>
          <w:szCs w:val="32"/>
        </w:rPr>
        <w:lastRenderedPageBreak/>
        <w:t>设工程质量管理条例》的规定执行。建筑工程在规定保修期限内的维修由建筑工程承包方负责，费用由责任方承担。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建筑工程承包方应当采取措施控制因施工引起的噪声及其他环境污染和危害，保护施工现场范围内的公共设施和毗邻建筑物、构筑物的安全，所需费用由建设单位承担。</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有下列情形之一的，建设单位应当按照国家有关规定办理申请批准手续；可能影响到周围地区的单位和居民的，应当事先告知：</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（一）需要临时占用规划批准范围以外场地的；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（二）可能损坏道路、管线、电力、邮电通讯等公共设施的；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（三）需要临时停水、停电、中断道路交通的；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（四）需要进行爆破作业的；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（五）法律、法规规定的其他需要办理报批手续的。</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第七章  监督管理</w:t>
      </w:r>
    </w:p>
    <w:p w:rsidR="00575E70" w:rsidRDefault="00575E70" w:rsidP="00AA1AC0">
      <w:pPr>
        <w:snapToGrid w:val="0"/>
        <w:spacing w:line="560" w:lineRule="exact"/>
        <w:jc w:val="center"/>
        <w:textAlignment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建筑工程开工前，建设单位应当持下列文件资料向工程所在地县级以上人民政府建设行政主管部门申请领取施工许可证：</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（一）建筑工程用地批准手续；</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（二）建筑工程规划批准手续;</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（三）施工承包企业的资质证书和项目管理人的资格证书；</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（四）符合施工需要的施工图纸、技术资料，需要进行施工图审查的，应当附施工图审查批准手续；</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（五）有关部门对建设资金的审核文件或银行出具的资信证明；</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（六）按规定需办理的固定资产投资许可、招标投标备案、建设单位自行管理工程项目和建设监理、工程质量安全监督的有关手续；</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（七）法律、法规规定应当报送的其他文件资料。</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对符合前款规定条件的施工申请，建设行政主管部门应当自收到申请之日起１５日内颁发施工许可证。</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按照国务院规定的权限和程序批准开工报告的建筑工程，不再领取施工许可证。</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各级人民政府应当积极培育、发展建筑市场。地、州（市）应当建立和完善工程建设承发包交易的有形市场，公开发布工程建设信息。建设行政主管部门和有关部门对在有形市场进行的建筑工程招标投标活动依法实施监督。</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建设行政执法人员进行执法监督、检查，应当严格遵守行政处罚法和有关法律、法规，持证上岗。</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建设行政管理应当公开办事制度，简化办事程序，提高办事效率，接受社会监督。</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建设行政主管部门和有关部门对从事建筑活动的单位和个人提出的各类申请应当在规定期限内予以办结或作出书面答复；</w:t>
      </w:r>
      <w:r>
        <w:rPr>
          <w:rFonts w:ascii="仿宋_GB2312" w:eastAsia="仿宋_GB2312" w:hAnsi="仿宋_GB2312" w:cs="仿宋_GB2312" w:hint="eastAsia"/>
          <w:sz w:val="32"/>
          <w:szCs w:val="32"/>
        </w:rPr>
        <w:lastRenderedPageBreak/>
        <w:t>没有规定期限的，应当自受理之日起３０日内办结或作出书面答复；因特殊情况未能在３０日内办结或答复的，经其上级行政主管部门批准，可以延长１个月。</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建设行政主管部门和有关部门应当建立建筑工程质量投诉制度，对用户的质量投诉及时予以处理，维护用户的合法权益。</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对建筑活动及其监督管理工作中违法行为的举报，建设行政主管部门和有关部门应当及时予以查处，并书面答复举报人。</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建设行政主管部门和有关部门在对建筑活动实施监督管理中，除按国务院和自治区人民政府有关规定收取费用外，不得收取其他费用。对没有合法依据的收费，从事建筑活动的单位和个人有权拒缴。</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第八章  法律责任</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违反本条例应当受到处罚的其他行为，依照《建筑法》、《招标投标法》、《建设工程质量管理条例》等有关法律、法规的规定进行处罚。构成犯罪的，依法追究刑事责任。</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对建筑活动实施监督管理的有关部门及其工作人员，有下列行为之一的，由上级主管机关予以纠正或者责令改正，对责任人员给予行政处分；构成犯罪的，依法追究刑事责任；造成损失的，依法承担赔偿责任：</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（一）对符合条件的各类申请无故拖延，故意刁难，超过规定期限不予办理的；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（二）对当事人的各类投诉、举报或者建设活动中的违法行为应当查处而不进行查处的；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（三）滥用职权，给不具备相应资质等级条件的单位颁发该等级资质证书，或者给不符合开工条件的工程办理施工许可证以及对不合格工程出具质量合格文件的；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（四）限定发包单位将招标发包的工程发包给指定的承包单位，或者限定承包单位购入指定的建筑材料、建筑构配件和设备以及指定生产厂、供应商的；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（五）利用职务之便索取、收受财物，谋取私利的；</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（六）其他玩忽职守、徇私舞弊、滥用职权的行为。</w:t>
      </w:r>
    </w:p>
    <w:p w:rsidR="00575E70" w:rsidRDefault="00575E70" w:rsidP="00AA1AC0">
      <w:pPr>
        <w:snapToGrid w:val="0"/>
        <w:spacing w:line="560" w:lineRule="exact"/>
        <w:rPr>
          <w:rFonts w:ascii="仿宋_GB2312" w:eastAsia="黑体" w:hAnsi="仿宋_GB2312" w:cs="仿宋_GB2312"/>
          <w:sz w:val="32"/>
          <w:szCs w:val="32"/>
        </w:rPr>
      </w:pPr>
    </w:p>
    <w:p w:rsidR="00575E70" w:rsidRDefault="000B7AC1" w:rsidP="00AA1AC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第九章  附  则</w:t>
      </w:r>
    </w:p>
    <w:p w:rsidR="00575E70" w:rsidRDefault="00575E70" w:rsidP="00AA1AC0">
      <w:pPr>
        <w:snapToGrid w:val="0"/>
        <w:spacing w:line="560" w:lineRule="exact"/>
        <w:jc w:val="center"/>
        <w:rPr>
          <w:rFonts w:ascii="仿宋_GB2312" w:eastAsia="黑体" w:hAnsi="仿宋_GB2312" w:cs="仿宋_GB2312"/>
          <w:sz w:val="32"/>
          <w:szCs w:val="32"/>
        </w:rPr>
      </w:pP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抢险救灾及其他临时性建筑设施和农民自建低层住宅的建筑活动，不适用本条例。</w:t>
      </w:r>
    </w:p>
    <w:p w:rsidR="00575E70" w:rsidRDefault="000B7AC1" w:rsidP="00AA1AC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本条例自１９９９年１月１日起施行。</w:t>
      </w:r>
    </w:p>
    <w:p w:rsidR="00575E70" w:rsidRDefault="00575E70" w:rsidP="00AA1AC0">
      <w:pPr>
        <w:spacing w:line="560" w:lineRule="exact"/>
        <w:rPr>
          <w:rFonts w:ascii="仿宋_GB2312" w:eastAsia="仿宋_GB2312" w:hAnsi="仿宋_GB2312" w:cs="仿宋_GB2312"/>
          <w:sz w:val="32"/>
          <w:szCs w:val="32"/>
        </w:rPr>
      </w:pPr>
    </w:p>
    <w:p w:rsidR="00575E70" w:rsidRDefault="00575E70" w:rsidP="00AA1AC0">
      <w:pPr>
        <w:spacing w:line="560" w:lineRule="exact"/>
        <w:rPr>
          <w:rFonts w:ascii="仿宋_GB2312" w:eastAsia="仿宋_GB2312" w:hAnsi="仿宋_GB2312" w:cs="仿宋_GB2312"/>
          <w:sz w:val="32"/>
          <w:szCs w:val="32"/>
        </w:rPr>
      </w:pPr>
    </w:p>
    <w:p w:rsidR="00575E70" w:rsidRDefault="00575E70" w:rsidP="00AA1AC0">
      <w:pPr>
        <w:adjustRightInd w:val="0"/>
        <w:snapToGrid w:val="0"/>
        <w:spacing w:line="560" w:lineRule="exact"/>
        <w:ind w:firstLineChars="200" w:firstLine="640"/>
        <w:rPr>
          <w:rFonts w:ascii="仿宋" w:eastAsia="仿宋" w:hAnsi="仿宋" w:cs="仿宋"/>
          <w:sz w:val="32"/>
          <w:szCs w:val="32"/>
        </w:rPr>
      </w:pPr>
    </w:p>
    <w:sectPr w:rsidR="00575E70" w:rsidSect="00AA1AC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84B" w:rsidRDefault="0025284B" w:rsidP="00575E70">
      <w:r>
        <w:separator/>
      </w:r>
    </w:p>
  </w:endnote>
  <w:endnote w:type="continuationSeparator" w:id="0">
    <w:p w:rsidR="0025284B" w:rsidRDefault="0025284B" w:rsidP="00575E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E70" w:rsidRDefault="00640356">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75E70" w:rsidRDefault="000B7AC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4035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40356">
                  <w:rPr>
                    <w:rFonts w:ascii="宋体" w:hAnsi="宋体" w:cs="宋体" w:hint="eastAsia"/>
                    <w:sz w:val="28"/>
                    <w:szCs w:val="28"/>
                  </w:rPr>
                  <w:fldChar w:fldCharType="separate"/>
                </w:r>
                <w:r w:rsidR="00AA1AC0">
                  <w:rPr>
                    <w:rFonts w:ascii="宋体" w:hAnsi="宋体" w:cs="宋体"/>
                    <w:noProof/>
                    <w:sz w:val="28"/>
                    <w:szCs w:val="28"/>
                  </w:rPr>
                  <w:t>2</w:t>
                </w:r>
                <w:r w:rsidR="0064035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E70" w:rsidRDefault="0064035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75E70" w:rsidRDefault="000B7AC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4035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40356">
                  <w:rPr>
                    <w:rFonts w:ascii="宋体" w:hAnsi="宋体" w:cs="宋体" w:hint="eastAsia"/>
                    <w:sz w:val="28"/>
                    <w:szCs w:val="28"/>
                  </w:rPr>
                  <w:fldChar w:fldCharType="separate"/>
                </w:r>
                <w:r w:rsidR="0057215F">
                  <w:rPr>
                    <w:rFonts w:ascii="宋体" w:hAnsi="宋体" w:cs="宋体"/>
                    <w:noProof/>
                    <w:sz w:val="28"/>
                    <w:szCs w:val="28"/>
                  </w:rPr>
                  <w:t>1</w:t>
                </w:r>
                <w:r w:rsidR="0064035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84B" w:rsidRDefault="0025284B" w:rsidP="00575E70">
      <w:r>
        <w:separator/>
      </w:r>
    </w:p>
  </w:footnote>
  <w:footnote w:type="continuationSeparator" w:id="0">
    <w:p w:rsidR="0025284B" w:rsidRDefault="0025284B" w:rsidP="00575E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E126573"/>
    <w:rsid w:val="000B7AC1"/>
    <w:rsid w:val="0025284B"/>
    <w:rsid w:val="0057215F"/>
    <w:rsid w:val="00575E70"/>
    <w:rsid w:val="00640356"/>
    <w:rsid w:val="00AA1AC0"/>
    <w:rsid w:val="05097AD0"/>
    <w:rsid w:val="10B63C0C"/>
    <w:rsid w:val="166E52DE"/>
    <w:rsid w:val="280A3758"/>
    <w:rsid w:val="31DD71E5"/>
    <w:rsid w:val="3E126573"/>
    <w:rsid w:val="44611165"/>
    <w:rsid w:val="5DBB79EF"/>
    <w:rsid w:val="688B2412"/>
    <w:rsid w:val="6E473EF8"/>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75E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75E70"/>
    <w:pPr>
      <w:tabs>
        <w:tab w:val="center" w:pos="4153"/>
        <w:tab w:val="right" w:pos="8306"/>
      </w:tabs>
      <w:snapToGrid w:val="0"/>
      <w:jc w:val="left"/>
    </w:pPr>
    <w:rPr>
      <w:sz w:val="18"/>
    </w:rPr>
  </w:style>
  <w:style w:type="paragraph" w:styleId="a4">
    <w:name w:val="header"/>
    <w:basedOn w:val="a"/>
    <w:qFormat/>
    <w:rsid w:val="00575E7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17</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2017-03-13T11:39:00Z</dcterms:created>
  <dcterms:modified xsi:type="dcterms:W3CDTF">2019-08-22T08:02:00Z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