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2" w:lineRule="exact"/>
        <w:ind w:firstLine="640" w:firstLineChars="200"/>
      </w:pPr>
    </w:p>
    <w:p>
      <w:pPr>
        <w:topLinePunct/>
        <w:adjustRightInd w:val="0"/>
        <w:snapToGrid w:val="0"/>
        <w:spacing w:line="592" w:lineRule="exact"/>
        <w:jc w:val="center"/>
        <w:rPr>
          <w:rFonts w:ascii="黑体" w:eastAsia="黑体"/>
          <w:color w:val="000000"/>
        </w:rPr>
      </w:pPr>
      <w:bookmarkStart w:id="0" w:name="_GoBack"/>
      <w:bookmarkEnd w:id="0"/>
    </w:p>
    <w:p>
      <w:pPr>
        <w:pStyle w:val="8"/>
        <w:widowControl w:val="0"/>
        <w:topLinePunct/>
        <w:adjustRightInd w:val="0"/>
        <w:snapToGrid w:val="0"/>
        <w:spacing w:before="0" w:beforeAutospacing="0" w:after="0" w:afterAutospacing="0" w:line="592" w:lineRule="exact"/>
        <w:jc w:val="center"/>
        <w:rPr>
          <w:rFonts w:hAnsi="宋体" w:cs="Times New Roman"/>
          <w:color w:val="000000"/>
          <w:sz w:val="44"/>
          <w:szCs w:val="44"/>
        </w:rPr>
      </w:pPr>
      <w:r>
        <w:rPr>
          <w:rFonts w:hint="eastAsia" w:hAnsi="宋体" w:cs="方正小标宋简体"/>
          <w:color w:val="000000"/>
          <w:sz w:val="44"/>
          <w:szCs w:val="44"/>
        </w:rPr>
        <w:t>日照市文物保护条例</w:t>
      </w:r>
    </w:p>
    <w:p>
      <w:pPr>
        <w:spacing w:line="580" w:lineRule="exact"/>
        <w:jc w:val="center"/>
        <w:rPr>
          <w:rFonts w:eastAsia="楷体_GB2312"/>
        </w:rPr>
      </w:pPr>
    </w:p>
    <w:p>
      <w:pPr>
        <w:spacing w:line="580" w:lineRule="exact"/>
        <w:ind w:firstLine="640" w:firstLineChars="200"/>
        <w:rPr>
          <w:rFonts w:ascii="楷体_GB2312" w:eastAsia="楷体_GB2312" w:cs="楷体_GB2312"/>
        </w:rPr>
      </w:pPr>
      <w:r>
        <w:rPr>
          <w:rFonts w:hint="eastAsia" w:eastAsia="楷体_GB2312" w:cs="楷体_GB2312"/>
        </w:rPr>
        <w:t>（</w:t>
      </w:r>
      <w:r>
        <w:rPr>
          <w:rFonts w:ascii="仿宋_GB2312" w:hAnsi="黑体"/>
        </w:rPr>
        <w:t>2020</w:t>
      </w:r>
      <w:r>
        <w:rPr>
          <w:rFonts w:hint="eastAsia" w:ascii="仿宋_GB2312" w:hAnsi="黑体"/>
        </w:rPr>
        <w:t>年</w:t>
      </w:r>
      <w:r>
        <w:rPr>
          <w:rFonts w:ascii="仿宋_GB2312" w:hAnsi="黑体"/>
        </w:rPr>
        <w:t>8</w:t>
      </w:r>
      <w:r>
        <w:rPr>
          <w:rFonts w:hint="eastAsia" w:ascii="仿宋_GB2312" w:hAnsi="黑体"/>
        </w:rPr>
        <w:t>月</w:t>
      </w:r>
      <w:r>
        <w:rPr>
          <w:rFonts w:ascii="仿宋_GB2312" w:hAnsi="黑体"/>
        </w:rPr>
        <w:t>31</w:t>
      </w:r>
      <w:r>
        <w:rPr>
          <w:rFonts w:hint="eastAsia" w:ascii="楷体_GB2312" w:eastAsia="楷体_GB2312" w:cs="楷体_GB2312"/>
        </w:rPr>
        <w:t>日日照市第十八届人民代表大会常务</w:t>
      </w:r>
    </w:p>
    <w:p>
      <w:pPr>
        <w:spacing w:line="580" w:lineRule="exact"/>
        <w:ind w:firstLine="640" w:firstLineChars="200"/>
        <w:rPr>
          <w:rFonts w:ascii="楷体_GB2312" w:eastAsia="楷体_GB2312" w:cs="楷体_GB2312"/>
        </w:rPr>
      </w:pPr>
      <w:r>
        <w:rPr>
          <w:rFonts w:hint="eastAsia" w:ascii="楷体_GB2312" w:eastAsia="楷体_GB2312" w:cs="楷体_GB2312"/>
        </w:rPr>
        <w:t>委员会第三十次会议通过</w:t>
      </w:r>
      <w:r>
        <w:rPr>
          <w:rFonts w:ascii="楷体_GB2312" w:eastAsia="楷体_GB2312" w:cs="楷体_GB2312"/>
        </w:rPr>
        <w:t xml:space="preserve">  </w:t>
      </w:r>
      <w:r>
        <w:rPr>
          <w:rFonts w:ascii="仿宋_GB2312" w:hAnsi="黑体"/>
        </w:rPr>
        <w:t>2020</w:t>
      </w:r>
      <w:r>
        <w:rPr>
          <w:rFonts w:hint="eastAsia" w:ascii="仿宋_GB2312" w:hAnsi="黑体"/>
        </w:rPr>
        <w:t>年</w:t>
      </w:r>
      <w:r>
        <w:rPr>
          <w:rFonts w:ascii="仿宋_GB2312" w:hAnsi="黑体"/>
        </w:rPr>
        <w:t>9</w:t>
      </w:r>
      <w:r>
        <w:rPr>
          <w:rFonts w:hint="eastAsia" w:ascii="仿宋_GB2312" w:hAnsi="黑体"/>
        </w:rPr>
        <w:t>月</w:t>
      </w:r>
      <w:r>
        <w:rPr>
          <w:rFonts w:ascii="仿宋_GB2312" w:hAnsi="黑体"/>
        </w:rPr>
        <w:t>25</w:t>
      </w:r>
      <w:r>
        <w:rPr>
          <w:rFonts w:hint="eastAsia" w:eastAsia="楷体_GB2312" w:cs="楷体_GB2312"/>
        </w:rPr>
        <w:t>日山东</w:t>
      </w:r>
      <w:r>
        <w:rPr>
          <w:rFonts w:hint="eastAsia" w:ascii="楷体_GB2312" w:eastAsia="楷体_GB2312" w:cs="楷体_GB2312"/>
        </w:rPr>
        <w:t>省第</w:t>
      </w:r>
    </w:p>
    <w:p>
      <w:pPr>
        <w:spacing w:line="580" w:lineRule="exact"/>
        <w:ind w:firstLine="640" w:firstLineChars="200"/>
        <w:rPr>
          <w:rFonts w:eastAsia="楷体_GB2312"/>
        </w:rPr>
      </w:pPr>
      <w:r>
        <w:rPr>
          <w:rFonts w:hint="eastAsia" w:ascii="楷体_GB2312" w:eastAsia="楷体_GB2312" w:cs="楷体_GB2312"/>
        </w:rPr>
        <w:t>十三届人民代表大会常务委员会第二十三次会议批准</w:t>
      </w:r>
      <w:r>
        <w:rPr>
          <w:rFonts w:hint="eastAsia" w:eastAsia="楷体_GB2312" w:cs="楷体_GB2312"/>
        </w:rPr>
        <w:t>）</w:t>
      </w:r>
    </w:p>
    <w:p>
      <w:pPr>
        <w:overflowPunct w:val="0"/>
        <w:topLinePunct/>
        <w:adjustRightInd w:val="0"/>
        <w:snapToGrid w:val="0"/>
        <w:spacing w:line="560" w:lineRule="exact"/>
        <w:rPr>
          <w:rFonts w:ascii="黑体" w:eastAsia="黑体"/>
        </w:rPr>
      </w:pPr>
    </w:p>
    <w:p>
      <w:pPr>
        <w:overflowPunct w:val="0"/>
        <w:topLinePunct/>
        <w:adjustRightInd w:val="0"/>
        <w:snapToGrid w:val="0"/>
        <w:spacing w:line="560" w:lineRule="exact"/>
        <w:jc w:val="center"/>
        <w:rPr>
          <w:rFonts w:ascii="楷体_GB2312" w:eastAsia="楷体_GB2312"/>
        </w:rPr>
      </w:pPr>
      <w:r>
        <w:rPr>
          <w:rFonts w:hint="eastAsia" w:ascii="楷体_GB2312" w:eastAsia="楷体_GB2312" w:cs="楷体_GB2312"/>
        </w:rPr>
        <w:t>目</w:t>
      </w:r>
      <w:r>
        <w:rPr>
          <w:rFonts w:ascii="楷体_GB2312" w:eastAsia="楷体_GB2312" w:cs="楷体_GB2312"/>
        </w:rPr>
        <w:t xml:space="preserve">  </w:t>
      </w:r>
      <w:r>
        <w:rPr>
          <w:rFonts w:hint="eastAsia" w:ascii="楷体_GB2312" w:eastAsia="楷体_GB2312" w:cs="楷体_GB2312"/>
        </w:rPr>
        <w:t>录</w:t>
      </w:r>
    </w:p>
    <w:p>
      <w:pPr>
        <w:overflowPunct w:val="0"/>
        <w:topLinePunct/>
        <w:adjustRightInd w:val="0"/>
        <w:snapToGrid w:val="0"/>
        <w:spacing w:line="560" w:lineRule="exact"/>
        <w:ind w:firstLine="640" w:firstLineChars="200"/>
        <w:rPr>
          <w:rFonts w:ascii="楷体_GB2312" w:eastAsia="楷体_GB2312"/>
        </w:rPr>
      </w:pPr>
      <w:r>
        <w:rPr>
          <w:rFonts w:hint="eastAsia" w:ascii="楷体_GB2312" w:eastAsia="楷体_GB2312" w:cs="楷体_GB2312"/>
        </w:rPr>
        <w:t>第一章</w:t>
      </w:r>
      <w:r>
        <w:rPr>
          <w:rFonts w:ascii="楷体_GB2312" w:eastAsia="楷体_GB2312" w:cs="楷体_GB2312"/>
        </w:rPr>
        <w:t xml:space="preserve">  </w:t>
      </w:r>
      <w:r>
        <w:rPr>
          <w:rFonts w:hint="eastAsia" w:ascii="楷体_GB2312" w:eastAsia="楷体_GB2312" w:cs="楷体_GB2312"/>
        </w:rPr>
        <w:t>总则</w:t>
      </w:r>
    </w:p>
    <w:p>
      <w:pPr>
        <w:overflowPunct w:val="0"/>
        <w:topLinePunct/>
        <w:adjustRightInd w:val="0"/>
        <w:snapToGrid w:val="0"/>
        <w:spacing w:line="560" w:lineRule="exact"/>
        <w:ind w:firstLine="640" w:firstLineChars="200"/>
        <w:rPr>
          <w:rFonts w:ascii="楷体_GB2312" w:eastAsia="楷体_GB2312"/>
        </w:rPr>
      </w:pPr>
      <w:r>
        <w:rPr>
          <w:rFonts w:hint="eastAsia" w:ascii="楷体_GB2312" w:eastAsia="楷体_GB2312" w:cs="楷体_GB2312"/>
        </w:rPr>
        <w:t>第二章</w:t>
      </w:r>
      <w:r>
        <w:rPr>
          <w:rFonts w:ascii="楷体_GB2312" w:eastAsia="楷体_GB2312" w:cs="楷体_GB2312"/>
        </w:rPr>
        <w:t xml:space="preserve">  </w:t>
      </w:r>
      <w:r>
        <w:rPr>
          <w:rFonts w:hint="eastAsia" w:ascii="楷体_GB2312" w:eastAsia="楷体_GB2312" w:cs="楷体_GB2312"/>
        </w:rPr>
        <w:t>保护利用</w:t>
      </w:r>
    </w:p>
    <w:p>
      <w:pPr>
        <w:overflowPunct w:val="0"/>
        <w:topLinePunct/>
        <w:adjustRightInd w:val="0"/>
        <w:snapToGrid w:val="0"/>
        <w:spacing w:line="560" w:lineRule="exact"/>
        <w:ind w:firstLine="640" w:firstLineChars="200"/>
        <w:rPr>
          <w:rFonts w:ascii="楷体_GB2312" w:eastAsia="楷体_GB2312"/>
        </w:rPr>
      </w:pPr>
      <w:r>
        <w:rPr>
          <w:rFonts w:hint="eastAsia" w:ascii="楷体_GB2312" w:eastAsia="楷体_GB2312" w:cs="楷体_GB2312"/>
        </w:rPr>
        <w:t>第三章</w:t>
      </w:r>
      <w:r>
        <w:rPr>
          <w:rFonts w:ascii="楷体_GB2312" w:eastAsia="楷体_GB2312" w:cs="楷体_GB2312"/>
        </w:rPr>
        <w:t xml:space="preserve">  </w:t>
      </w:r>
      <w:r>
        <w:rPr>
          <w:rFonts w:hint="eastAsia" w:ascii="楷体_GB2312" w:eastAsia="楷体_GB2312" w:cs="楷体_GB2312"/>
        </w:rPr>
        <w:t>监督管理</w:t>
      </w:r>
    </w:p>
    <w:p>
      <w:pPr>
        <w:overflowPunct w:val="0"/>
        <w:topLinePunct/>
        <w:adjustRightInd w:val="0"/>
        <w:snapToGrid w:val="0"/>
        <w:spacing w:line="560" w:lineRule="exact"/>
        <w:ind w:firstLine="640" w:firstLineChars="200"/>
        <w:rPr>
          <w:rFonts w:ascii="楷体_GB2312" w:eastAsia="楷体_GB2312"/>
        </w:rPr>
      </w:pPr>
      <w:r>
        <w:rPr>
          <w:rFonts w:hint="eastAsia" w:ascii="楷体_GB2312" w:eastAsia="楷体_GB2312" w:cs="楷体_GB2312"/>
        </w:rPr>
        <w:t>第四章</w:t>
      </w:r>
      <w:r>
        <w:rPr>
          <w:rFonts w:ascii="楷体_GB2312" w:eastAsia="楷体_GB2312" w:cs="楷体_GB2312"/>
        </w:rPr>
        <w:t xml:space="preserve">  </w:t>
      </w:r>
      <w:r>
        <w:rPr>
          <w:rFonts w:hint="eastAsia" w:ascii="楷体_GB2312" w:eastAsia="楷体_GB2312" w:cs="楷体_GB2312"/>
        </w:rPr>
        <w:t>法律责任</w:t>
      </w:r>
    </w:p>
    <w:p>
      <w:pPr>
        <w:overflowPunct w:val="0"/>
        <w:topLinePunct/>
        <w:adjustRightInd w:val="0"/>
        <w:snapToGrid w:val="0"/>
        <w:spacing w:line="560" w:lineRule="exact"/>
        <w:ind w:firstLine="640" w:firstLineChars="200"/>
        <w:rPr>
          <w:rFonts w:ascii="楷体_GB2312" w:eastAsia="楷体_GB2312"/>
        </w:rPr>
      </w:pPr>
      <w:r>
        <w:rPr>
          <w:rFonts w:hint="eastAsia" w:ascii="楷体_GB2312" w:eastAsia="楷体_GB2312" w:cs="楷体_GB2312"/>
        </w:rPr>
        <w:t>第五章</w:t>
      </w:r>
      <w:r>
        <w:rPr>
          <w:rFonts w:ascii="楷体_GB2312" w:eastAsia="楷体_GB2312" w:cs="楷体_GB2312"/>
        </w:rPr>
        <w:t xml:space="preserve">  </w:t>
      </w:r>
      <w:r>
        <w:rPr>
          <w:rFonts w:hint="eastAsia" w:ascii="楷体_GB2312" w:eastAsia="楷体_GB2312" w:cs="楷体_GB2312"/>
        </w:rPr>
        <w:t>附则</w:t>
      </w:r>
    </w:p>
    <w:p>
      <w:pPr>
        <w:overflowPunct w:val="0"/>
        <w:topLinePunct/>
        <w:adjustRightInd w:val="0"/>
        <w:snapToGrid w:val="0"/>
        <w:spacing w:line="560" w:lineRule="exact"/>
        <w:jc w:val="center"/>
        <w:rPr>
          <w:rFonts w:eastAsia="黑体" w:cs="黑体"/>
        </w:rPr>
      </w:pPr>
    </w:p>
    <w:p>
      <w:pPr>
        <w:pStyle w:val="9"/>
        <w:numPr>
          <w:ilvl w:val="0"/>
          <w:numId w:val="1"/>
        </w:numPr>
        <w:overflowPunct w:val="0"/>
        <w:topLinePunct/>
        <w:adjustRightInd w:val="0"/>
        <w:snapToGrid w:val="0"/>
        <w:spacing w:before="156" w:beforeLines="50" w:after="156" w:afterLines="50" w:line="560" w:lineRule="exact"/>
        <w:ind w:firstLineChars="0"/>
        <w:jc w:val="center"/>
        <w:rPr>
          <w:rFonts w:eastAsia="黑体" w:cs="黑体"/>
        </w:rPr>
      </w:pPr>
      <w:r>
        <w:rPr>
          <w:rFonts w:hint="eastAsia" w:eastAsia="黑体" w:cs="黑体"/>
        </w:rPr>
        <w:t>总则</w:t>
      </w:r>
    </w:p>
    <w:p>
      <w:pPr>
        <w:pStyle w:val="2"/>
        <w:spacing w:after="0" w:line="560" w:lineRule="exact"/>
        <w:ind w:left="640" w:firstLine="640"/>
        <w:rPr>
          <w:rFonts w:hint="eastAsia"/>
        </w:rPr>
      </w:pPr>
    </w:p>
    <w:p>
      <w:pPr>
        <w:overflowPunct w:val="0"/>
        <w:topLinePunct/>
        <w:adjustRightInd w:val="0"/>
        <w:snapToGrid w:val="0"/>
        <w:spacing w:line="560" w:lineRule="exact"/>
        <w:ind w:firstLine="640" w:firstLineChars="200"/>
      </w:pPr>
      <w:r>
        <w:rPr>
          <w:rFonts w:hint="eastAsia" w:eastAsia="黑体" w:cs="黑体"/>
        </w:rPr>
        <w:t>第一条</w:t>
      </w:r>
      <w:r>
        <w:rPr>
          <w:rFonts w:eastAsia="黑体"/>
        </w:rPr>
        <w:t xml:space="preserve">  </w:t>
      </w:r>
      <w:r>
        <w:rPr>
          <w:rFonts w:hint="eastAsia" w:cs="仿宋_GB2312"/>
        </w:rPr>
        <w:t>为了加强文物保护，传承优秀历史文化遗产，根据《中华人民共和国文物保护法》《中华人民共和国文物保护法实施条例》《山东省文物保护条例》等法律、法规，结合本市实际，制定本条例。</w:t>
      </w:r>
    </w:p>
    <w:p>
      <w:pPr>
        <w:overflowPunct w:val="0"/>
        <w:topLinePunct/>
        <w:adjustRightInd w:val="0"/>
        <w:snapToGrid w:val="0"/>
        <w:spacing w:line="560" w:lineRule="exact"/>
        <w:ind w:firstLine="640" w:firstLineChars="200"/>
      </w:pPr>
      <w:r>
        <w:rPr>
          <w:rFonts w:hint="eastAsia" w:eastAsia="黑体" w:cs="黑体"/>
        </w:rPr>
        <w:t>第二条</w:t>
      </w:r>
      <w:r>
        <w:rPr>
          <w:rFonts w:eastAsia="黑体"/>
        </w:rPr>
        <w:t xml:space="preserve">  </w:t>
      </w:r>
      <w:r>
        <w:rPr>
          <w:rFonts w:hint="eastAsia" w:cs="仿宋_GB2312"/>
        </w:rPr>
        <w:t>本市行政区域内文物保护及其有关活动，适用本条例。</w:t>
      </w:r>
    </w:p>
    <w:p>
      <w:pPr>
        <w:overflowPunct w:val="0"/>
        <w:topLinePunct/>
        <w:adjustRightInd w:val="0"/>
        <w:snapToGrid w:val="0"/>
        <w:spacing w:line="560" w:lineRule="exact"/>
        <w:ind w:firstLine="640" w:firstLineChars="200"/>
      </w:pPr>
      <w:r>
        <w:rPr>
          <w:rFonts w:hint="eastAsia" w:eastAsia="黑体" w:cs="黑体"/>
        </w:rPr>
        <w:t>第三条</w:t>
      </w:r>
      <w:r>
        <w:rPr>
          <w:rFonts w:eastAsia="黑体"/>
        </w:rPr>
        <w:t xml:space="preserve">  </w:t>
      </w:r>
      <w:r>
        <w:rPr>
          <w:rFonts w:hint="eastAsia" w:cs="仿宋_GB2312"/>
        </w:rPr>
        <w:t>在本市行政区域内，下列文物依法受保护：</w:t>
      </w:r>
    </w:p>
    <w:p>
      <w:pPr>
        <w:overflowPunct w:val="0"/>
        <w:topLinePunct/>
        <w:adjustRightInd w:val="0"/>
        <w:snapToGrid w:val="0"/>
        <w:spacing w:line="560" w:lineRule="exact"/>
        <w:ind w:firstLine="640" w:firstLineChars="200"/>
      </w:pPr>
      <w:r>
        <w:rPr>
          <w:rFonts w:hint="eastAsia" w:cs="仿宋_GB2312"/>
        </w:rPr>
        <w:t>（一）具有历史、艺术、科学价值的古文化遗址、古墓葬、古建筑和石刻、壁画；</w:t>
      </w:r>
    </w:p>
    <w:p>
      <w:pPr>
        <w:overflowPunct w:val="0"/>
        <w:topLinePunct/>
        <w:adjustRightInd w:val="0"/>
        <w:snapToGrid w:val="0"/>
        <w:spacing w:line="560" w:lineRule="exact"/>
        <w:ind w:firstLine="640" w:firstLineChars="200"/>
      </w:pPr>
      <w:r>
        <w:rPr>
          <w:rFonts w:hint="eastAsia" w:cs="仿宋_GB2312"/>
        </w:rPr>
        <w:t>（二）与重大历史事件、革命运动或者著名人物有关的，以及具有重要纪念意义、教育意义或者史料价值的近现代重要史迹、实物、代表性建筑；</w:t>
      </w:r>
    </w:p>
    <w:p>
      <w:pPr>
        <w:overflowPunct w:val="0"/>
        <w:topLinePunct/>
        <w:adjustRightInd w:val="0"/>
        <w:snapToGrid w:val="0"/>
        <w:spacing w:line="560" w:lineRule="exact"/>
        <w:ind w:firstLine="640" w:firstLineChars="200"/>
      </w:pPr>
      <w:r>
        <w:rPr>
          <w:rFonts w:hint="eastAsia" w:cs="仿宋_GB2312"/>
        </w:rPr>
        <w:t>（三）历史上各时代珍贵的艺术品、工艺美术品；</w:t>
      </w:r>
    </w:p>
    <w:p>
      <w:pPr>
        <w:overflowPunct w:val="0"/>
        <w:topLinePunct/>
        <w:adjustRightInd w:val="0"/>
        <w:snapToGrid w:val="0"/>
        <w:spacing w:line="560" w:lineRule="exact"/>
        <w:ind w:firstLine="640" w:firstLineChars="200"/>
      </w:pPr>
      <w:r>
        <w:rPr>
          <w:rFonts w:hint="eastAsia" w:cs="仿宋_GB2312"/>
        </w:rPr>
        <w:t>（四）历史上各时代重要的文献资料以及具有历史、艺术、科学价值的手稿、图书资料和影音像资料等；</w:t>
      </w:r>
    </w:p>
    <w:p>
      <w:pPr>
        <w:overflowPunct w:val="0"/>
        <w:topLinePunct/>
        <w:adjustRightInd w:val="0"/>
        <w:snapToGrid w:val="0"/>
        <w:spacing w:line="560" w:lineRule="exact"/>
        <w:ind w:firstLine="640" w:firstLineChars="200"/>
      </w:pPr>
      <w:r>
        <w:rPr>
          <w:rFonts w:hint="eastAsia" w:cs="仿宋_GB2312"/>
        </w:rPr>
        <w:t>（五）反映历史上各时代、各民族社会制度、社会生产、社会生活的代表性实物；</w:t>
      </w:r>
    </w:p>
    <w:p>
      <w:pPr>
        <w:overflowPunct w:val="0"/>
        <w:topLinePunct/>
        <w:adjustRightInd w:val="0"/>
        <w:snapToGrid w:val="0"/>
        <w:spacing w:line="560" w:lineRule="exact"/>
        <w:ind w:firstLine="640" w:firstLineChars="200"/>
      </w:pPr>
      <w:r>
        <w:rPr>
          <w:rFonts w:hint="eastAsia" w:cs="仿宋_GB2312"/>
        </w:rPr>
        <w:t>（六）法律、法规规定的其他文物。</w:t>
      </w:r>
    </w:p>
    <w:p>
      <w:pPr>
        <w:overflowPunct w:val="0"/>
        <w:topLinePunct/>
        <w:adjustRightInd w:val="0"/>
        <w:snapToGrid w:val="0"/>
        <w:spacing w:line="560" w:lineRule="exact"/>
        <w:ind w:firstLine="640" w:firstLineChars="200"/>
      </w:pPr>
      <w:r>
        <w:rPr>
          <w:rFonts w:hint="eastAsia" w:cs="仿宋_GB2312"/>
        </w:rPr>
        <w:t>具有科学价值的古脊椎动物化石和古人类化石同文物一样受保护。</w:t>
      </w:r>
    </w:p>
    <w:p>
      <w:pPr>
        <w:overflowPunct w:val="0"/>
        <w:topLinePunct/>
        <w:adjustRightInd w:val="0"/>
        <w:snapToGrid w:val="0"/>
        <w:spacing w:line="560" w:lineRule="exact"/>
        <w:ind w:firstLine="640" w:firstLineChars="200"/>
      </w:pPr>
      <w:r>
        <w:rPr>
          <w:rFonts w:hint="eastAsia" w:eastAsia="黑体" w:cs="黑体"/>
        </w:rPr>
        <w:t>第四条</w:t>
      </w:r>
      <w:r>
        <w:rPr>
          <w:rFonts w:eastAsia="黑体"/>
        </w:rPr>
        <w:t xml:space="preserve">  </w:t>
      </w:r>
      <w:r>
        <w:rPr>
          <w:rFonts w:hint="eastAsia" w:cs="仿宋_GB2312"/>
        </w:rPr>
        <w:t>文物工作贯彻保护为主、抢救第一、合理利用、加强管理的方针，遵循属地管理、分级负责的原则。</w:t>
      </w:r>
    </w:p>
    <w:p>
      <w:pPr>
        <w:overflowPunct w:val="0"/>
        <w:topLinePunct/>
        <w:adjustRightInd w:val="0"/>
        <w:snapToGrid w:val="0"/>
        <w:spacing w:line="560" w:lineRule="exact"/>
        <w:ind w:firstLine="640" w:firstLineChars="200"/>
      </w:pPr>
      <w:r>
        <w:rPr>
          <w:rFonts w:hint="eastAsia" w:eastAsia="黑体" w:cs="黑体"/>
        </w:rPr>
        <w:t>第五条</w:t>
      </w:r>
      <w:r>
        <w:rPr>
          <w:rFonts w:eastAsia="黑体"/>
        </w:rPr>
        <w:t xml:space="preserve">  </w:t>
      </w:r>
      <w:r>
        <w:rPr>
          <w:rFonts w:hint="eastAsia" w:cs="仿宋_GB2312"/>
        </w:rPr>
        <w:t>市、县（区）人民政府负责本行政区域内的文物保护工作。</w:t>
      </w:r>
    </w:p>
    <w:p>
      <w:pPr>
        <w:overflowPunct w:val="0"/>
        <w:topLinePunct/>
        <w:adjustRightInd w:val="0"/>
        <w:snapToGrid w:val="0"/>
        <w:spacing w:line="560" w:lineRule="exact"/>
        <w:ind w:firstLine="640" w:firstLineChars="200"/>
      </w:pPr>
      <w:r>
        <w:rPr>
          <w:rFonts w:hint="eastAsia" w:cs="仿宋_GB2312"/>
        </w:rPr>
        <w:t>乡镇人民政府、街道办事处在县（区）人民政府文物行政部门的指导下做好本辖区内的文物保护工作。</w:t>
      </w:r>
    </w:p>
    <w:p>
      <w:pPr>
        <w:overflowPunct w:val="0"/>
        <w:topLinePunct/>
        <w:adjustRightInd w:val="0"/>
        <w:snapToGrid w:val="0"/>
        <w:spacing w:line="560" w:lineRule="exact"/>
        <w:ind w:firstLine="640" w:firstLineChars="200"/>
      </w:pPr>
      <w:r>
        <w:rPr>
          <w:rFonts w:hint="eastAsia" w:eastAsia="黑体" w:cs="黑体"/>
        </w:rPr>
        <w:t>第六条</w:t>
      </w:r>
      <w:r>
        <w:rPr>
          <w:rFonts w:eastAsia="黑体"/>
        </w:rPr>
        <w:t xml:space="preserve">  </w:t>
      </w:r>
      <w:r>
        <w:rPr>
          <w:rFonts w:hint="eastAsia" w:cs="仿宋_GB2312"/>
        </w:rPr>
        <w:t>市、县（区）人民政府文物行政部门负责本行政区域内文物保护的监督管理工作。</w:t>
      </w:r>
    </w:p>
    <w:p>
      <w:pPr>
        <w:overflowPunct w:val="0"/>
        <w:topLinePunct/>
        <w:adjustRightInd w:val="0"/>
        <w:snapToGrid w:val="0"/>
        <w:spacing w:line="560" w:lineRule="exact"/>
        <w:ind w:firstLine="640" w:firstLineChars="200"/>
      </w:pPr>
      <w:r>
        <w:rPr>
          <w:rFonts w:hint="eastAsia" w:cs="仿宋_GB2312"/>
        </w:rPr>
        <w:t>发展改革、教育、公安、民政、财政、自然资源和规划、生态环境、住房城乡建设、交通运输、水利、农业农村、海洋发展、退役军人事务、应急管理、行政审批服务、市场监督管理、城市管理、海事、海关等部门应当在各自职责范围内依法做好文物保护有关工作。</w:t>
      </w:r>
    </w:p>
    <w:p>
      <w:pPr>
        <w:overflowPunct w:val="0"/>
        <w:topLinePunct/>
        <w:adjustRightInd w:val="0"/>
        <w:snapToGrid w:val="0"/>
        <w:spacing w:line="560" w:lineRule="exact"/>
        <w:ind w:firstLine="640" w:firstLineChars="200"/>
      </w:pPr>
      <w:r>
        <w:rPr>
          <w:rFonts w:hint="eastAsia" w:eastAsia="黑体" w:cs="黑体"/>
        </w:rPr>
        <w:t>第七条</w:t>
      </w:r>
      <w:r>
        <w:rPr>
          <w:rFonts w:eastAsia="黑体"/>
        </w:rPr>
        <w:t xml:space="preserve">  </w:t>
      </w:r>
      <w:r>
        <w:rPr>
          <w:rFonts w:hint="eastAsia" w:cs="仿宋_GB2312"/>
        </w:rPr>
        <w:t>市、县（区）人民政府应当加强文物管理机构和队伍建设，其文物保护委员会负责协调、解决涉及文物保护的重大事项。</w:t>
      </w:r>
    </w:p>
    <w:p>
      <w:pPr>
        <w:overflowPunct w:val="0"/>
        <w:topLinePunct/>
        <w:adjustRightInd w:val="0"/>
        <w:snapToGrid w:val="0"/>
        <w:spacing w:line="560" w:lineRule="exact"/>
        <w:ind w:firstLine="640" w:firstLineChars="200"/>
      </w:pPr>
      <w:r>
        <w:rPr>
          <w:rFonts w:hint="eastAsia" w:cs="仿宋_GB2312"/>
        </w:rPr>
        <w:t>市、县（区）人民政府应当建立文物保护专家咨询机制，对文物保护有关事项提供专业技术支持。</w:t>
      </w:r>
    </w:p>
    <w:p>
      <w:pPr>
        <w:overflowPunct w:val="0"/>
        <w:topLinePunct/>
        <w:adjustRightInd w:val="0"/>
        <w:snapToGrid w:val="0"/>
        <w:spacing w:line="560" w:lineRule="exact"/>
        <w:ind w:firstLine="640" w:firstLineChars="200"/>
      </w:pPr>
      <w:r>
        <w:rPr>
          <w:rFonts w:hint="eastAsia" w:eastAsia="黑体" w:cs="黑体"/>
        </w:rPr>
        <w:t>第八条</w:t>
      </w:r>
      <w:r>
        <w:rPr>
          <w:rFonts w:eastAsia="黑体"/>
        </w:rPr>
        <w:t xml:space="preserve">  </w:t>
      </w:r>
      <w:r>
        <w:rPr>
          <w:rFonts w:hint="eastAsia" w:cs="仿宋_GB2312"/>
        </w:rPr>
        <w:t>市、县（区）人民政府应当将文物保护纳入国民经济和社会发展规划、国土空间规划，所需经费列入本级财政预算。</w:t>
      </w:r>
    </w:p>
    <w:p>
      <w:pPr>
        <w:overflowPunct w:val="0"/>
        <w:topLinePunct/>
        <w:adjustRightInd w:val="0"/>
        <w:snapToGrid w:val="0"/>
        <w:spacing w:line="560" w:lineRule="exact"/>
        <w:ind w:firstLine="640" w:firstLineChars="200"/>
      </w:pPr>
      <w:r>
        <w:rPr>
          <w:rFonts w:hint="eastAsia" w:cs="仿宋_GB2312"/>
        </w:rPr>
        <w:t>文物保护经费用于下列支出</w:t>
      </w:r>
      <w:r>
        <w:t>:</w:t>
      </w:r>
    </w:p>
    <w:p>
      <w:pPr>
        <w:overflowPunct w:val="0"/>
        <w:topLinePunct/>
        <w:adjustRightInd w:val="0"/>
        <w:snapToGrid w:val="0"/>
        <w:spacing w:line="560" w:lineRule="exact"/>
        <w:ind w:firstLine="640" w:firstLineChars="200"/>
      </w:pPr>
      <w:r>
        <w:rPr>
          <w:rFonts w:hint="eastAsia" w:cs="仿宋_GB2312"/>
        </w:rPr>
        <w:t>（一）需要由政府承担费用的考古调查、勘探、发掘；</w:t>
      </w:r>
    </w:p>
    <w:p>
      <w:pPr>
        <w:overflowPunct w:val="0"/>
        <w:topLinePunct/>
        <w:adjustRightInd w:val="0"/>
        <w:snapToGrid w:val="0"/>
        <w:spacing w:line="560" w:lineRule="exact"/>
        <w:ind w:firstLine="640" w:firstLineChars="200"/>
      </w:pPr>
      <w:r>
        <w:rPr>
          <w:rFonts w:hint="eastAsia" w:cs="仿宋_GB2312"/>
        </w:rPr>
        <w:t>（二）国有不可移动文物的修缮、保养、安全防护、消防设施建设、保护范围内保存环境治理等；</w:t>
      </w:r>
    </w:p>
    <w:p>
      <w:pPr>
        <w:overflowPunct w:val="0"/>
        <w:topLinePunct/>
        <w:adjustRightInd w:val="0"/>
        <w:snapToGrid w:val="0"/>
        <w:spacing w:line="560" w:lineRule="exact"/>
        <w:ind w:firstLine="640" w:firstLineChars="200"/>
      </w:pPr>
      <w:r>
        <w:rPr>
          <w:rFonts w:hint="eastAsia" w:cs="仿宋_GB2312"/>
        </w:rPr>
        <w:t>（三）非国有不可移动文物的修缮补助；</w:t>
      </w:r>
    </w:p>
    <w:p>
      <w:pPr>
        <w:overflowPunct w:val="0"/>
        <w:topLinePunct/>
        <w:adjustRightInd w:val="0"/>
        <w:snapToGrid w:val="0"/>
        <w:spacing w:line="560" w:lineRule="exact"/>
        <w:ind w:firstLine="640" w:firstLineChars="200"/>
      </w:pPr>
      <w:r>
        <w:rPr>
          <w:rFonts w:hint="eastAsia" w:cs="仿宋_GB2312"/>
        </w:rPr>
        <w:t>（四）国有博物馆馆藏文物及标本的保护和修复；</w:t>
      </w:r>
    </w:p>
    <w:p>
      <w:pPr>
        <w:overflowPunct w:val="0"/>
        <w:topLinePunct/>
        <w:adjustRightInd w:val="0"/>
        <w:snapToGrid w:val="0"/>
        <w:spacing w:line="560" w:lineRule="exact"/>
        <w:ind w:firstLine="640" w:firstLineChars="200"/>
      </w:pPr>
      <w:r>
        <w:rPr>
          <w:rFonts w:hint="eastAsia" w:cs="仿宋_GB2312"/>
        </w:rPr>
        <w:t>（五）非国有博物馆的藏品维护补助；</w:t>
      </w:r>
    </w:p>
    <w:p>
      <w:pPr>
        <w:overflowPunct w:val="0"/>
        <w:topLinePunct/>
        <w:adjustRightInd w:val="0"/>
        <w:snapToGrid w:val="0"/>
        <w:spacing w:line="560" w:lineRule="exact"/>
        <w:ind w:firstLine="640" w:firstLineChars="200"/>
      </w:pPr>
      <w:r>
        <w:rPr>
          <w:rFonts w:hint="eastAsia" w:cs="仿宋_GB2312"/>
        </w:rPr>
        <w:t>（六）文物的数字化保护、预防性保护，文物保护项目管理；</w:t>
      </w:r>
    </w:p>
    <w:p>
      <w:pPr>
        <w:overflowPunct w:val="0"/>
        <w:topLinePunct/>
        <w:adjustRightInd w:val="0"/>
        <w:snapToGrid w:val="0"/>
        <w:spacing w:line="560" w:lineRule="exact"/>
        <w:ind w:firstLine="640" w:firstLineChars="200"/>
      </w:pPr>
      <w:r>
        <w:rPr>
          <w:rFonts w:hint="eastAsia" w:cs="仿宋_GB2312"/>
        </w:rPr>
        <w:t>（七）文物研究和宣传教育；</w:t>
      </w:r>
    </w:p>
    <w:p>
      <w:pPr>
        <w:overflowPunct w:val="0"/>
        <w:topLinePunct/>
        <w:adjustRightInd w:val="0"/>
        <w:snapToGrid w:val="0"/>
        <w:spacing w:line="560" w:lineRule="exact"/>
        <w:ind w:firstLine="640" w:firstLineChars="200"/>
      </w:pPr>
      <w:r>
        <w:rPr>
          <w:rFonts w:hint="eastAsia" w:cs="仿宋_GB2312"/>
        </w:rPr>
        <w:t>（八）文物保护员聘用、专家咨询；</w:t>
      </w:r>
    </w:p>
    <w:p>
      <w:pPr>
        <w:overflowPunct w:val="0"/>
        <w:topLinePunct/>
        <w:adjustRightInd w:val="0"/>
        <w:snapToGrid w:val="0"/>
        <w:spacing w:line="560" w:lineRule="exact"/>
        <w:ind w:firstLine="640" w:firstLineChars="200"/>
      </w:pPr>
      <w:r>
        <w:rPr>
          <w:rFonts w:hint="eastAsia" w:cs="仿宋_GB2312"/>
        </w:rPr>
        <w:t>（九）对文物保护作出显著成绩和贡献的单位或者个人的奖励；</w:t>
      </w:r>
    </w:p>
    <w:p>
      <w:pPr>
        <w:overflowPunct w:val="0"/>
        <w:topLinePunct/>
        <w:adjustRightInd w:val="0"/>
        <w:snapToGrid w:val="0"/>
        <w:spacing w:line="560" w:lineRule="exact"/>
        <w:ind w:firstLine="640" w:firstLineChars="200"/>
      </w:pPr>
      <w:r>
        <w:rPr>
          <w:rFonts w:hint="eastAsia" w:cs="仿宋_GB2312"/>
        </w:rPr>
        <w:t>（十）其他文物保护方面的支出。</w:t>
      </w:r>
    </w:p>
    <w:p>
      <w:pPr>
        <w:overflowPunct w:val="0"/>
        <w:topLinePunct/>
        <w:adjustRightInd w:val="0"/>
        <w:snapToGrid w:val="0"/>
        <w:spacing w:line="560" w:lineRule="exact"/>
        <w:ind w:firstLine="640" w:firstLineChars="200"/>
      </w:pPr>
      <w:r>
        <w:rPr>
          <w:rFonts w:hint="eastAsia" w:eastAsia="黑体" w:cs="黑体"/>
        </w:rPr>
        <w:t>第九条</w:t>
      </w:r>
      <w:r>
        <w:rPr>
          <w:rFonts w:eastAsia="黑体"/>
        </w:rPr>
        <w:t xml:space="preserve">  </w:t>
      </w:r>
      <w:r>
        <w:rPr>
          <w:rFonts w:hint="eastAsia" w:cs="仿宋_GB2312"/>
        </w:rPr>
        <w:t>市、县（区）人民政府及有关部门应当加强文物保护的宣传教育，增强全民文物保护意识。</w:t>
      </w:r>
    </w:p>
    <w:p>
      <w:pPr>
        <w:overflowPunct w:val="0"/>
        <w:topLinePunct/>
        <w:adjustRightInd w:val="0"/>
        <w:snapToGrid w:val="0"/>
        <w:spacing w:line="560" w:lineRule="exact"/>
        <w:ind w:firstLine="640" w:firstLineChars="200"/>
      </w:pPr>
      <w:r>
        <w:rPr>
          <w:rFonts w:hint="eastAsia" w:cs="仿宋_GB2312"/>
        </w:rPr>
        <w:t>新闻媒体应当加强对文物保护法律、法规和优秀历史文化遗产保护的宣传，发布文物保护公益广告。</w:t>
      </w:r>
    </w:p>
    <w:p>
      <w:pPr>
        <w:overflowPunct w:val="0"/>
        <w:topLinePunct/>
        <w:adjustRightInd w:val="0"/>
        <w:snapToGrid w:val="0"/>
        <w:spacing w:line="560" w:lineRule="exact"/>
        <w:ind w:firstLine="640" w:firstLineChars="200"/>
      </w:pPr>
      <w:r>
        <w:rPr>
          <w:rFonts w:hint="eastAsia" w:cs="仿宋_GB2312"/>
        </w:rPr>
        <w:t>鼓励公民、法人和其他组织开展文物保护志愿服务活动，文物行政部门应当提供指导和支持。</w:t>
      </w:r>
    </w:p>
    <w:p>
      <w:pPr>
        <w:overflowPunct w:val="0"/>
        <w:topLinePunct/>
        <w:adjustRightInd w:val="0"/>
        <w:snapToGrid w:val="0"/>
        <w:spacing w:line="560" w:lineRule="exact"/>
        <w:ind w:firstLine="640" w:firstLineChars="200"/>
      </w:pPr>
      <w:r>
        <w:rPr>
          <w:rFonts w:hint="eastAsia" w:eastAsia="黑体" w:cs="黑体"/>
        </w:rPr>
        <w:t>第十条</w:t>
      </w:r>
      <w:r>
        <w:rPr>
          <w:rFonts w:eastAsia="黑体"/>
        </w:rPr>
        <w:t xml:space="preserve">  </w:t>
      </w:r>
      <w:r>
        <w:rPr>
          <w:rFonts w:hint="eastAsia" w:cs="仿宋_GB2312"/>
        </w:rPr>
        <w:t>任何单位和个人都有依法保护文物的义务，并有权对破坏、损害文物的行为进行劝阻、举报。</w:t>
      </w:r>
    </w:p>
    <w:p>
      <w:pPr>
        <w:overflowPunct w:val="0"/>
        <w:topLinePunct/>
        <w:adjustRightInd w:val="0"/>
        <w:snapToGrid w:val="0"/>
        <w:spacing w:before="156" w:beforeLines="50" w:after="156" w:afterLines="50" w:line="560" w:lineRule="exact"/>
        <w:jc w:val="center"/>
        <w:rPr>
          <w:rFonts w:eastAsia="黑体" w:cs="黑体"/>
        </w:rPr>
      </w:pPr>
    </w:p>
    <w:p>
      <w:pPr>
        <w:overflowPunct w:val="0"/>
        <w:topLinePunct/>
        <w:adjustRightInd w:val="0"/>
        <w:snapToGrid w:val="0"/>
        <w:spacing w:before="156" w:beforeLines="50" w:after="156" w:afterLines="50" w:line="560" w:lineRule="exact"/>
        <w:jc w:val="center"/>
        <w:rPr>
          <w:rFonts w:eastAsia="黑体" w:cs="黑体"/>
        </w:rPr>
      </w:pPr>
      <w:r>
        <w:rPr>
          <w:rFonts w:hint="eastAsia" w:eastAsia="黑体" w:cs="黑体"/>
        </w:rPr>
        <w:t>第二章</w:t>
      </w:r>
      <w:r>
        <w:rPr>
          <w:rFonts w:eastAsia="黑体"/>
        </w:rPr>
        <w:t xml:space="preserve">  </w:t>
      </w:r>
      <w:r>
        <w:rPr>
          <w:rFonts w:hint="eastAsia" w:eastAsia="黑体" w:cs="黑体"/>
        </w:rPr>
        <w:t>保护利用</w:t>
      </w:r>
    </w:p>
    <w:p>
      <w:pPr>
        <w:pStyle w:val="2"/>
        <w:spacing w:after="0" w:line="560" w:lineRule="exact"/>
        <w:ind w:left="640" w:firstLine="640"/>
        <w:rPr>
          <w:rFonts w:hint="eastAsia"/>
        </w:rPr>
      </w:pPr>
    </w:p>
    <w:p>
      <w:pPr>
        <w:overflowPunct w:val="0"/>
        <w:topLinePunct/>
        <w:adjustRightInd w:val="0"/>
        <w:snapToGrid w:val="0"/>
        <w:spacing w:line="560" w:lineRule="exact"/>
        <w:ind w:firstLine="640" w:firstLineChars="200"/>
      </w:pPr>
      <w:r>
        <w:rPr>
          <w:rFonts w:hint="eastAsia" w:eastAsia="黑体" w:cs="黑体"/>
        </w:rPr>
        <w:t>第十一条</w:t>
      </w:r>
      <w:r>
        <w:rPr>
          <w:rFonts w:eastAsia="黑体"/>
        </w:rPr>
        <w:t xml:space="preserve">  </w:t>
      </w:r>
      <w:r>
        <w:rPr>
          <w:rFonts w:hint="eastAsia" w:cs="仿宋_GB2312"/>
        </w:rPr>
        <w:t>市、县（区）人民政府应当建立不可移动文物普查制度，定期组织文物普查，鼓励公民、法人和其他组织向文物行政部门提供文物线索。</w:t>
      </w:r>
    </w:p>
    <w:p>
      <w:pPr>
        <w:overflowPunct w:val="0"/>
        <w:topLinePunct/>
        <w:adjustRightInd w:val="0"/>
        <w:snapToGrid w:val="0"/>
        <w:spacing w:line="560" w:lineRule="exact"/>
        <w:ind w:firstLine="640" w:firstLineChars="200"/>
      </w:pPr>
      <w:r>
        <w:rPr>
          <w:rFonts w:hint="eastAsia" w:cs="仿宋_GB2312"/>
        </w:rPr>
        <w:t>在文物资源调查和考古发掘中发现的符合本条例第三条规定的不可移动文物，由县（区）人民政府文物行政部门予以认定，认定前应当征求社会意见。</w:t>
      </w:r>
    </w:p>
    <w:p>
      <w:pPr>
        <w:overflowPunct w:val="0"/>
        <w:topLinePunct/>
        <w:adjustRightInd w:val="0"/>
        <w:snapToGrid w:val="0"/>
        <w:spacing w:line="560" w:lineRule="exact"/>
        <w:ind w:firstLine="640" w:firstLineChars="200"/>
      </w:pPr>
      <w:r>
        <w:rPr>
          <w:rFonts w:hint="eastAsia" w:cs="仿宋_GB2312"/>
        </w:rPr>
        <w:t>公民、法人和其他组织可以向县（区）人民政府文物行政部门申请认定不可移动文物。</w:t>
      </w:r>
    </w:p>
    <w:p>
      <w:pPr>
        <w:overflowPunct w:val="0"/>
        <w:topLinePunct/>
        <w:adjustRightInd w:val="0"/>
        <w:snapToGrid w:val="0"/>
        <w:spacing w:line="560" w:lineRule="exact"/>
        <w:ind w:firstLine="640" w:firstLineChars="200"/>
      </w:pPr>
      <w:r>
        <w:rPr>
          <w:rFonts w:hint="eastAsia" w:cs="仿宋_GB2312"/>
        </w:rPr>
        <w:t>不可移动文物根据其历史、艺术、科学、社会、文化价值，按照法定程序可以核定公布为全国重点文物保护单位和省级、市级、县级文物保护单位。未核定公布为文物保护单位的不可移动文物，由县（区）人民政府文物行政部门登记公布，参照县级文物保护单位进行管理。</w:t>
      </w:r>
    </w:p>
    <w:p>
      <w:pPr>
        <w:overflowPunct w:val="0"/>
        <w:topLinePunct/>
        <w:adjustRightInd w:val="0"/>
        <w:snapToGrid w:val="0"/>
        <w:spacing w:line="560" w:lineRule="exact"/>
        <w:ind w:firstLine="640" w:firstLineChars="200"/>
      </w:pPr>
      <w:r>
        <w:rPr>
          <w:rFonts w:hint="eastAsia" w:eastAsia="黑体" w:cs="黑体"/>
        </w:rPr>
        <w:t>第十二条</w:t>
      </w:r>
      <w:r>
        <w:rPr>
          <w:rFonts w:eastAsia="黑体"/>
        </w:rPr>
        <w:t xml:space="preserve">  </w:t>
      </w:r>
      <w:r>
        <w:rPr>
          <w:rFonts w:hint="eastAsia" w:cs="仿宋_GB2312"/>
        </w:rPr>
        <w:t>市、县（区）人民政府文物行政部门应当根据文物普查情况，会同自然资源和规划、水利、海洋发展等部门，在埋藏文物丰富的区域依法划定地下文物保护区和水下文物保护区，报本级人民政府核定公布，并纳入国土空间规划。</w:t>
      </w:r>
    </w:p>
    <w:p>
      <w:pPr>
        <w:overflowPunct w:val="0"/>
        <w:topLinePunct/>
        <w:adjustRightInd w:val="0"/>
        <w:snapToGrid w:val="0"/>
        <w:spacing w:line="560" w:lineRule="exact"/>
        <w:ind w:firstLine="640" w:firstLineChars="200"/>
      </w:pPr>
      <w:r>
        <w:rPr>
          <w:rFonts w:hint="eastAsia" w:eastAsia="黑体" w:cs="黑体"/>
        </w:rPr>
        <w:t>第十三条</w:t>
      </w:r>
      <w:r>
        <w:rPr>
          <w:rFonts w:eastAsia="黑体"/>
        </w:rPr>
        <w:t xml:space="preserve">  </w:t>
      </w:r>
      <w:r>
        <w:rPr>
          <w:rFonts w:hint="eastAsia" w:cs="仿宋_GB2312"/>
        </w:rPr>
        <w:t>市、县（区）人民政府应当依法合理划定、公布本级文物保护单位的保护范围，作出标志说明，建立记录档案，设立专门机构或者落实专人管理。</w:t>
      </w:r>
    </w:p>
    <w:p>
      <w:pPr>
        <w:overflowPunct w:val="0"/>
        <w:topLinePunct/>
        <w:adjustRightInd w:val="0"/>
        <w:snapToGrid w:val="0"/>
        <w:spacing w:line="560" w:lineRule="exact"/>
        <w:ind w:firstLine="640" w:firstLineChars="200"/>
      </w:pPr>
      <w:r>
        <w:rPr>
          <w:rFonts w:hint="eastAsia" w:cs="仿宋_GB2312"/>
        </w:rPr>
        <w:t>根据保护文物的实际需要，在文物保护单位的周围依法划定建设控制地带，并予以公布。</w:t>
      </w:r>
    </w:p>
    <w:p>
      <w:pPr>
        <w:overflowPunct w:val="0"/>
        <w:topLinePunct/>
        <w:adjustRightInd w:val="0"/>
        <w:snapToGrid w:val="0"/>
        <w:spacing w:line="560" w:lineRule="exact"/>
        <w:ind w:firstLine="640" w:firstLineChars="200"/>
      </w:pPr>
      <w:r>
        <w:rPr>
          <w:rFonts w:hint="eastAsia" w:cs="仿宋_GB2312"/>
        </w:rPr>
        <w:t>禁止攀爬、踩踏、刻划、涂污、损坏不可移动文物，禁止损毁、擅自移动文物保护单位保护标志和保护界桩。</w:t>
      </w:r>
    </w:p>
    <w:p>
      <w:pPr>
        <w:overflowPunct w:val="0"/>
        <w:topLinePunct/>
        <w:adjustRightInd w:val="0"/>
        <w:snapToGrid w:val="0"/>
        <w:spacing w:line="560" w:lineRule="exact"/>
        <w:ind w:firstLine="640" w:firstLineChars="200"/>
      </w:pPr>
      <w:r>
        <w:rPr>
          <w:rFonts w:hint="eastAsia" w:eastAsia="黑体" w:cs="黑体"/>
        </w:rPr>
        <w:t>第十四条</w:t>
      </w:r>
      <w:r>
        <w:rPr>
          <w:rFonts w:eastAsia="黑体"/>
        </w:rPr>
        <w:t xml:space="preserve">  </w:t>
      </w:r>
      <w:r>
        <w:rPr>
          <w:rFonts w:hint="eastAsia" w:cs="仿宋_GB2312"/>
        </w:rPr>
        <w:t>在文物保护单位的保护范围内，禁止下列行为</w:t>
      </w:r>
      <w:r>
        <w:t>:</w:t>
      </w:r>
    </w:p>
    <w:p>
      <w:pPr>
        <w:overflowPunct w:val="0"/>
        <w:topLinePunct/>
        <w:adjustRightInd w:val="0"/>
        <w:snapToGrid w:val="0"/>
        <w:spacing w:line="560" w:lineRule="exact"/>
        <w:ind w:firstLine="640" w:firstLineChars="200"/>
      </w:pPr>
      <w:r>
        <w:rPr>
          <w:rFonts w:hint="eastAsia" w:cs="仿宋_GB2312"/>
        </w:rPr>
        <w:t>（一）擅自设置户外广告设施、修建构筑物或者栽植移植大型乔木；</w:t>
      </w:r>
    </w:p>
    <w:p>
      <w:pPr>
        <w:overflowPunct w:val="0"/>
        <w:topLinePunct/>
        <w:adjustRightInd w:val="0"/>
        <w:snapToGrid w:val="0"/>
        <w:spacing w:line="560" w:lineRule="exact"/>
        <w:ind w:firstLine="640" w:firstLineChars="200"/>
      </w:pPr>
      <w:r>
        <w:rPr>
          <w:rFonts w:hint="eastAsia" w:cs="仿宋_GB2312"/>
        </w:rPr>
        <w:t>（二）修建人造景点；</w:t>
      </w:r>
    </w:p>
    <w:p>
      <w:pPr>
        <w:overflowPunct w:val="0"/>
        <w:topLinePunct/>
        <w:adjustRightInd w:val="0"/>
        <w:snapToGrid w:val="0"/>
        <w:spacing w:line="560" w:lineRule="exact"/>
        <w:ind w:firstLine="640" w:firstLineChars="200"/>
      </w:pPr>
      <w:r>
        <w:rPr>
          <w:rFonts w:hint="eastAsia" w:cs="仿宋_GB2312"/>
        </w:rPr>
        <w:t>（三）存放易燃、易爆、有毒、有腐蚀性、有放射性等危害文物安全的物品；</w:t>
      </w:r>
    </w:p>
    <w:p>
      <w:pPr>
        <w:overflowPunct w:val="0"/>
        <w:topLinePunct/>
        <w:adjustRightInd w:val="0"/>
        <w:snapToGrid w:val="0"/>
        <w:spacing w:line="560" w:lineRule="exact"/>
        <w:ind w:firstLine="640" w:firstLineChars="200"/>
      </w:pPr>
      <w:r>
        <w:rPr>
          <w:rFonts w:hint="eastAsia" w:cs="仿宋_GB2312"/>
        </w:rPr>
        <w:t>（四）擅自进行爆破、钻探、挖掘等作业；</w:t>
      </w:r>
    </w:p>
    <w:p>
      <w:pPr>
        <w:overflowPunct w:val="0"/>
        <w:topLinePunct/>
        <w:adjustRightInd w:val="0"/>
        <w:snapToGrid w:val="0"/>
        <w:spacing w:line="560" w:lineRule="exact"/>
        <w:ind w:firstLine="640" w:firstLineChars="200"/>
      </w:pPr>
      <w:r>
        <w:rPr>
          <w:rFonts w:hint="eastAsia" w:cs="仿宋_GB2312"/>
        </w:rPr>
        <w:t>（五）建窑、取土、采石、开矿、毁林、排污、深翻土地；</w:t>
      </w:r>
    </w:p>
    <w:p>
      <w:pPr>
        <w:overflowPunct w:val="0"/>
        <w:topLinePunct/>
        <w:adjustRightInd w:val="0"/>
        <w:snapToGrid w:val="0"/>
        <w:spacing w:line="560" w:lineRule="exact"/>
        <w:ind w:firstLine="640" w:firstLineChars="200"/>
      </w:pPr>
      <w:r>
        <w:rPr>
          <w:rFonts w:hint="eastAsia" w:cs="仿宋_GB2312"/>
        </w:rPr>
        <w:t>（六）进行与文物保护无关的其他建设工程；</w:t>
      </w:r>
    </w:p>
    <w:p>
      <w:pPr>
        <w:overflowPunct w:val="0"/>
        <w:topLinePunct/>
        <w:adjustRightInd w:val="0"/>
        <w:snapToGrid w:val="0"/>
        <w:spacing w:line="560" w:lineRule="exact"/>
        <w:ind w:firstLine="640" w:firstLineChars="200"/>
      </w:pPr>
      <w:r>
        <w:rPr>
          <w:rFonts w:hint="eastAsia" w:cs="仿宋_GB2312"/>
        </w:rPr>
        <w:t>（七）其他可能影响文物保护单位安全及其环境的行为。</w:t>
      </w:r>
    </w:p>
    <w:p>
      <w:pPr>
        <w:overflowPunct w:val="0"/>
        <w:topLinePunct/>
        <w:adjustRightInd w:val="0"/>
        <w:snapToGrid w:val="0"/>
        <w:spacing w:line="560" w:lineRule="exact"/>
        <w:ind w:firstLine="640" w:firstLineChars="200"/>
      </w:pPr>
      <w:r>
        <w:rPr>
          <w:rFonts w:hint="eastAsia" w:eastAsia="黑体" w:cs="黑体"/>
        </w:rPr>
        <w:t>第十五条</w:t>
      </w:r>
      <w:r>
        <w:rPr>
          <w:rFonts w:eastAsia="黑体"/>
        </w:rPr>
        <w:t xml:space="preserve">  </w:t>
      </w:r>
      <w:r>
        <w:rPr>
          <w:rFonts w:hint="eastAsia" w:cs="仿宋_GB2312"/>
        </w:rPr>
        <w:t>在文物保护单位的建设控制地带内新建、改建、扩建建筑物、构筑物，其高度、体量、色调等应当与该文物保护单位的风貌相协调，设计方案应当根据文物保护单位的级别，征得同级文物行政部门同意后，报规划许可部门批准。</w:t>
      </w:r>
    </w:p>
    <w:p>
      <w:pPr>
        <w:overflowPunct w:val="0"/>
        <w:topLinePunct/>
        <w:adjustRightInd w:val="0"/>
        <w:snapToGrid w:val="0"/>
        <w:spacing w:line="560" w:lineRule="exact"/>
        <w:ind w:firstLine="640" w:firstLineChars="200"/>
      </w:pPr>
      <w:r>
        <w:rPr>
          <w:rFonts w:hint="eastAsia" w:eastAsia="黑体" w:cs="黑体"/>
        </w:rPr>
        <w:t>第十六条</w:t>
      </w:r>
      <w:r>
        <w:rPr>
          <w:rFonts w:eastAsia="黑体"/>
        </w:rPr>
        <w:t xml:space="preserve">  </w:t>
      </w:r>
      <w:r>
        <w:rPr>
          <w:rFonts w:hint="eastAsia" w:cs="仿宋_GB2312"/>
        </w:rPr>
        <w:t>在文物保护单位的建设控制地带内，不得建设污染文物保护单位及其环境的设施，不得进行可能影响文物保护单位安全及其环境的活动。对已有的污染文物保护单位及其环境的设施，应当限期治理。</w:t>
      </w:r>
    </w:p>
    <w:p>
      <w:pPr>
        <w:overflowPunct w:val="0"/>
        <w:topLinePunct/>
        <w:adjustRightInd w:val="0"/>
        <w:snapToGrid w:val="0"/>
        <w:spacing w:line="560" w:lineRule="exact"/>
        <w:ind w:firstLine="640" w:firstLineChars="200"/>
      </w:pPr>
      <w:r>
        <w:rPr>
          <w:rFonts w:hint="eastAsia" w:eastAsia="黑体" w:cs="黑体"/>
        </w:rPr>
        <w:t>第十七条</w:t>
      </w:r>
      <w:r>
        <w:t xml:space="preserve">  </w:t>
      </w:r>
      <w:r>
        <w:rPr>
          <w:rFonts w:hint="eastAsia" w:cs="仿宋_GB2312"/>
        </w:rPr>
        <w:t>市、县（区）人民政府应当制定文物的具体保护措施，加强对下列文物的保护管理：</w:t>
      </w:r>
    </w:p>
    <w:p>
      <w:pPr>
        <w:overflowPunct w:val="0"/>
        <w:topLinePunct/>
        <w:adjustRightInd w:val="0"/>
        <w:snapToGrid w:val="0"/>
        <w:spacing w:line="560" w:lineRule="exact"/>
        <w:ind w:firstLine="640" w:firstLineChars="200"/>
      </w:pPr>
      <w:r>
        <w:rPr>
          <w:rFonts w:hint="eastAsia" w:cs="仿宋_GB2312"/>
        </w:rPr>
        <w:t>（一）齐长城遗址日照段、两城镇遗址、尧王城遗址、丹土遗址、东海峪遗址、大朱家村遗址、杭头遗址等大型文化遗址；</w:t>
      </w:r>
    </w:p>
    <w:p>
      <w:pPr>
        <w:overflowPunct w:val="0"/>
        <w:topLinePunct/>
        <w:adjustRightInd w:val="0"/>
        <w:snapToGrid w:val="0"/>
        <w:spacing w:line="560" w:lineRule="exact"/>
        <w:ind w:firstLine="640" w:firstLineChars="200"/>
      </w:pPr>
      <w:r>
        <w:rPr>
          <w:rFonts w:hint="eastAsia" w:cs="仿宋_GB2312"/>
        </w:rPr>
        <w:t>（二）刘章墓、城阳王墓、天井汪墓群、齐家庄墓群、海曲墓群、莒子墓等古墓葬；</w:t>
      </w:r>
    </w:p>
    <w:p>
      <w:pPr>
        <w:overflowPunct w:val="0"/>
        <w:topLinePunct/>
        <w:adjustRightInd w:val="0"/>
        <w:snapToGrid w:val="0"/>
        <w:spacing w:line="560" w:lineRule="exact"/>
        <w:ind w:firstLine="640" w:firstLineChars="200"/>
      </w:pPr>
      <w:r>
        <w:rPr>
          <w:rFonts w:hint="eastAsia" w:cs="仿宋_GB2312"/>
        </w:rPr>
        <w:t>（三）莒国故城、五莲山光明寺、刘勰故居、丁公石祠、河山石亭、丁氏故居、王献唐故居等城址、古建筑及近现代代表性建筑；</w:t>
      </w:r>
    </w:p>
    <w:p>
      <w:pPr>
        <w:overflowPunct w:val="0"/>
        <w:topLinePunct/>
        <w:adjustRightInd w:val="0"/>
        <w:snapToGrid w:val="0"/>
        <w:spacing w:line="560" w:lineRule="exact"/>
        <w:ind w:firstLine="640" w:firstLineChars="200"/>
      </w:pPr>
      <w:r>
        <w:rPr>
          <w:rFonts w:hint="eastAsia" w:cs="仿宋_GB2312"/>
        </w:rPr>
        <w:t>（四）山东军区机关驻地旧址、中共下元特别支部旧址、邵疃小学革命纪念地等革命文物；</w:t>
      </w:r>
    </w:p>
    <w:p>
      <w:pPr>
        <w:overflowPunct w:val="0"/>
        <w:topLinePunct/>
        <w:adjustRightInd w:val="0"/>
        <w:snapToGrid w:val="0"/>
        <w:spacing w:line="560" w:lineRule="exact"/>
        <w:ind w:firstLine="640" w:firstLineChars="200"/>
      </w:pPr>
      <w:r>
        <w:rPr>
          <w:rFonts w:hint="eastAsia" w:cs="仿宋_GB2312"/>
        </w:rPr>
        <w:t>（五）其他具有突出价值、需要加强保护的不可移动文物。</w:t>
      </w:r>
    </w:p>
    <w:p>
      <w:pPr>
        <w:overflowPunct w:val="0"/>
        <w:topLinePunct/>
        <w:adjustRightInd w:val="0"/>
        <w:snapToGrid w:val="0"/>
        <w:spacing w:line="560" w:lineRule="exact"/>
        <w:ind w:firstLine="640" w:firstLineChars="200"/>
      </w:pPr>
      <w:r>
        <w:rPr>
          <w:rFonts w:hint="eastAsia" w:eastAsia="黑体" w:cs="黑体"/>
        </w:rPr>
        <w:t>第十八条</w:t>
      </w:r>
      <w:r>
        <w:t xml:space="preserve">  </w:t>
      </w:r>
      <w:r>
        <w:rPr>
          <w:rFonts w:hint="eastAsia" w:cs="仿宋_GB2312"/>
        </w:rPr>
        <w:t>市、县（区）人民政府应当将具有较高历史文化价值或者鲜明地域特色的农业遗产、工业遗产、传统村落、革命遗址、历史文化街区公布为文物保护单位，确定保护名录和保护范围，编制相应的保护发展规划，促进保护和利用。</w:t>
      </w:r>
    </w:p>
    <w:p>
      <w:pPr>
        <w:overflowPunct w:val="0"/>
        <w:topLinePunct/>
        <w:adjustRightInd w:val="0"/>
        <w:snapToGrid w:val="0"/>
        <w:spacing w:line="560" w:lineRule="exact"/>
        <w:ind w:firstLine="640" w:firstLineChars="200"/>
      </w:pPr>
      <w:r>
        <w:rPr>
          <w:rFonts w:hint="eastAsia" w:cs="仿宋_GB2312"/>
        </w:rPr>
        <w:t>编制风景名胜区规划，涉及不可移动文物的，应当征求所在地文物行政部门的意见。</w:t>
      </w:r>
    </w:p>
    <w:p>
      <w:pPr>
        <w:overflowPunct w:val="0"/>
        <w:topLinePunct/>
        <w:adjustRightInd w:val="0"/>
        <w:snapToGrid w:val="0"/>
        <w:spacing w:line="560" w:lineRule="exact"/>
        <w:ind w:firstLine="640" w:firstLineChars="200"/>
      </w:pPr>
      <w:r>
        <w:rPr>
          <w:rFonts w:hint="eastAsia" w:eastAsia="黑体" w:cs="黑体"/>
        </w:rPr>
        <w:t>第十九条</w:t>
      </w:r>
      <w:r>
        <w:rPr>
          <w:rFonts w:eastAsia="黑体"/>
        </w:rPr>
        <w:t xml:space="preserve">  </w:t>
      </w:r>
      <w:r>
        <w:rPr>
          <w:rFonts w:hint="eastAsia" w:cs="仿宋_GB2312"/>
        </w:rPr>
        <w:t>不</w:t>
      </w:r>
      <w:r>
        <w:rPr>
          <w:rFonts w:hint="eastAsia" w:cs="仿宋_GB2312"/>
          <w:spacing w:val="-6"/>
        </w:rPr>
        <w:t>可移动文物按照下列规定确定保护管理责任人</w:t>
      </w:r>
      <w:r>
        <w:rPr>
          <w:spacing w:val="-6"/>
        </w:rPr>
        <w:t>:</w:t>
      </w:r>
    </w:p>
    <w:p>
      <w:pPr>
        <w:overflowPunct w:val="0"/>
        <w:topLinePunct/>
        <w:adjustRightInd w:val="0"/>
        <w:snapToGrid w:val="0"/>
        <w:spacing w:line="560" w:lineRule="exact"/>
        <w:ind w:firstLine="640" w:firstLineChars="200"/>
      </w:pPr>
      <w:r>
        <w:rPr>
          <w:rFonts w:hint="eastAsia" w:cs="仿宋_GB2312"/>
        </w:rPr>
        <w:t>（一）国有不可移动文物，使用人为保护管理责任人；</w:t>
      </w:r>
    </w:p>
    <w:p>
      <w:pPr>
        <w:overflowPunct w:val="0"/>
        <w:topLinePunct/>
        <w:adjustRightInd w:val="0"/>
        <w:snapToGrid w:val="0"/>
        <w:spacing w:line="560" w:lineRule="exact"/>
        <w:ind w:firstLine="640" w:firstLineChars="200"/>
      </w:pPr>
      <w:r>
        <w:rPr>
          <w:rFonts w:hint="eastAsia" w:cs="仿宋_GB2312"/>
        </w:rPr>
        <w:t>（二）非国有不可移动文物，所有权人为保护管理责任人，使用人和所有权人有约定的，从其约定；</w:t>
      </w:r>
    </w:p>
    <w:p>
      <w:pPr>
        <w:overflowPunct w:val="0"/>
        <w:topLinePunct/>
        <w:adjustRightInd w:val="0"/>
        <w:snapToGrid w:val="0"/>
        <w:spacing w:line="560" w:lineRule="exact"/>
        <w:ind w:firstLine="640" w:firstLineChars="200"/>
      </w:pPr>
      <w:r>
        <w:rPr>
          <w:rFonts w:hint="eastAsia" w:cs="仿宋_GB2312"/>
        </w:rPr>
        <w:t>（三）不可移动文物所有权不明确、国有不可移动文物无使用人或者使用人不明确的，由当地县（区）人民政府指定保护管理责任人。</w:t>
      </w:r>
    </w:p>
    <w:p>
      <w:pPr>
        <w:overflowPunct w:val="0"/>
        <w:topLinePunct/>
        <w:adjustRightInd w:val="0"/>
        <w:snapToGrid w:val="0"/>
        <w:spacing w:line="560" w:lineRule="exact"/>
        <w:ind w:firstLine="640" w:firstLineChars="200"/>
      </w:pPr>
      <w:r>
        <w:rPr>
          <w:rFonts w:hint="eastAsia" w:cs="仿宋_GB2312"/>
        </w:rPr>
        <w:t>保护管理责任人可以聘请文物保护员，开展文物保护工作。</w:t>
      </w:r>
    </w:p>
    <w:p>
      <w:pPr>
        <w:overflowPunct w:val="0"/>
        <w:topLinePunct/>
        <w:adjustRightInd w:val="0"/>
        <w:snapToGrid w:val="0"/>
        <w:spacing w:line="560" w:lineRule="exact"/>
        <w:ind w:firstLine="640" w:firstLineChars="200"/>
      </w:pPr>
      <w:r>
        <w:rPr>
          <w:rFonts w:hint="eastAsia" w:eastAsia="黑体" w:cs="黑体"/>
        </w:rPr>
        <w:t>第二十条</w:t>
      </w:r>
      <w:r>
        <w:rPr>
          <w:rFonts w:eastAsia="黑体"/>
        </w:rPr>
        <w:t xml:space="preserve">  </w:t>
      </w:r>
      <w:r>
        <w:rPr>
          <w:rFonts w:hint="eastAsia" w:cs="仿宋_GB2312"/>
        </w:rPr>
        <w:t>不可移动文物保护管理责任人有权依法合理利用不可移动文物，享有相关收益，并遵守下列规定：</w:t>
      </w:r>
    </w:p>
    <w:p>
      <w:pPr>
        <w:overflowPunct w:val="0"/>
        <w:topLinePunct/>
        <w:adjustRightInd w:val="0"/>
        <w:snapToGrid w:val="0"/>
        <w:spacing w:line="560" w:lineRule="exact"/>
        <w:ind w:firstLine="640" w:firstLineChars="200"/>
      </w:pPr>
      <w:r>
        <w:rPr>
          <w:rFonts w:hint="eastAsia" w:cs="仿宋_GB2312"/>
        </w:rPr>
        <w:t>（一）负责不可移动文物的修缮、保养及安全管理；</w:t>
      </w:r>
    </w:p>
    <w:p>
      <w:pPr>
        <w:overflowPunct w:val="0"/>
        <w:topLinePunct/>
        <w:adjustRightInd w:val="0"/>
        <w:snapToGrid w:val="0"/>
        <w:spacing w:line="560" w:lineRule="exact"/>
        <w:ind w:firstLine="640" w:firstLineChars="200"/>
      </w:pPr>
      <w:r>
        <w:rPr>
          <w:rFonts w:hint="eastAsia" w:cs="仿宋_GB2312"/>
        </w:rPr>
        <w:t>（二）不得擅自修缮不可移动文物，改变原建筑立面、结构体系、色彩色调、基本平面布局和有特色的内部装饰等；</w:t>
      </w:r>
    </w:p>
    <w:p>
      <w:pPr>
        <w:overflowPunct w:val="0"/>
        <w:topLinePunct/>
        <w:adjustRightInd w:val="0"/>
        <w:snapToGrid w:val="0"/>
        <w:spacing w:line="560" w:lineRule="exact"/>
        <w:ind w:firstLine="640" w:firstLineChars="200"/>
      </w:pPr>
      <w:r>
        <w:rPr>
          <w:rFonts w:hint="eastAsia" w:cs="仿宋_GB2312"/>
        </w:rPr>
        <w:t>（三）不得损毁、擅自改建、添建或者拆除与不可移动文物相关的建筑物以及其他设施；</w:t>
      </w:r>
    </w:p>
    <w:p>
      <w:pPr>
        <w:overflowPunct w:val="0"/>
        <w:topLinePunct/>
        <w:adjustRightInd w:val="0"/>
        <w:snapToGrid w:val="0"/>
        <w:spacing w:line="560" w:lineRule="exact"/>
        <w:ind w:firstLine="640" w:firstLineChars="200"/>
      </w:pPr>
      <w:r>
        <w:rPr>
          <w:rFonts w:hint="eastAsia" w:cs="仿宋_GB2312"/>
        </w:rPr>
        <w:t>（四）不得擅自改变国有不可移动文物的用途；</w:t>
      </w:r>
    </w:p>
    <w:p>
      <w:pPr>
        <w:overflowPunct w:val="0"/>
        <w:topLinePunct/>
        <w:adjustRightInd w:val="0"/>
        <w:snapToGrid w:val="0"/>
        <w:spacing w:line="560" w:lineRule="exact"/>
        <w:ind w:firstLine="640" w:firstLineChars="200"/>
      </w:pPr>
      <w:r>
        <w:rPr>
          <w:rFonts w:hint="eastAsia" w:cs="仿宋_GB2312"/>
        </w:rPr>
        <w:t>（五）不得以文物利用为名过度开发经营、拆真建假，影响文物安全；</w:t>
      </w:r>
    </w:p>
    <w:p>
      <w:pPr>
        <w:overflowPunct w:val="0"/>
        <w:topLinePunct/>
        <w:adjustRightInd w:val="0"/>
        <w:snapToGrid w:val="0"/>
        <w:spacing w:line="560" w:lineRule="exact"/>
        <w:ind w:firstLine="640" w:firstLineChars="200"/>
      </w:pPr>
      <w:r>
        <w:rPr>
          <w:rFonts w:hint="eastAsia" w:cs="仿宋_GB2312"/>
        </w:rPr>
        <w:t>（六）发现危害不可移动文物安全的险情时，立即采取救护措施并向所在地的文物行政部门报告；</w:t>
      </w:r>
    </w:p>
    <w:p>
      <w:pPr>
        <w:overflowPunct w:val="0"/>
        <w:topLinePunct/>
        <w:adjustRightInd w:val="0"/>
        <w:snapToGrid w:val="0"/>
        <w:spacing w:line="560" w:lineRule="exact"/>
        <w:ind w:firstLine="640" w:firstLineChars="200"/>
      </w:pPr>
      <w:r>
        <w:rPr>
          <w:rFonts w:hint="eastAsia" w:cs="仿宋_GB2312"/>
        </w:rPr>
        <w:t>（七）法律、法规规定的其他保护责任。</w:t>
      </w:r>
    </w:p>
    <w:p>
      <w:pPr>
        <w:overflowPunct w:val="0"/>
        <w:topLinePunct/>
        <w:adjustRightInd w:val="0"/>
        <w:snapToGrid w:val="0"/>
        <w:spacing w:line="560" w:lineRule="exact"/>
        <w:ind w:firstLine="640" w:firstLineChars="200"/>
      </w:pPr>
      <w:r>
        <w:rPr>
          <w:rFonts w:hint="eastAsia" w:cs="仿宋_GB2312"/>
        </w:rPr>
        <w:t>不可移动文物由非文物管理机构使用的，县（区）文物行政部门应当与保护管理责任人签订保护责任书。</w:t>
      </w:r>
    </w:p>
    <w:p>
      <w:pPr>
        <w:overflowPunct w:val="0"/>
        <w:topLinePunct/>
        <w:adjustRightInd w:val="0"/>
        <w:snapToGrid w:val="0"/>
        <w:spacing w:line="560" w:lineRule="exact"/>
        <w:ind w:firstLine="640" w:firstLineChars="200"/>
      </w:pPr>
      <w:r>
        <w:rPr>
          <w:rFonts w:hint="eastAsia" w:eastAsia="黑体" w:cs="黑体"/>
        </w:rPr>
        <w:t>第二十一条</w:t>
      </w:r>
      <w:r>
        <w:rPr>
          <w:rFonts w:eastAsia="黑体"/>
        </w:rPr>
        <w:t xml:space="preserve">  </w:t>
      </w:r>
      <w:r>
        <w:rPr>
          <w:rFonts w:hint="eastAsia" w:cs="仿宋_GB2312"/>
        </w:rPr>
        <w:t>保护管理责任人修缮非国有不可移动文物时，市、县（区）人民政府可以给予适当补助，补助申请由保护管理责任人根据文物级别向文物所在地的市、县（区）人民政府文物行政部门提出。</w:t>
      </w:r>
    </w:p>
    <w:p>
      <w:pPr>
        <w:overflowPunct w:val="0"/>
        <w:topLinePunct/>
        <w:adjustRightInd w:val="0"/>
        <w:snapToGrid w:val="0"/>
        <w:spacing w:line="560" w:lineRule="exact"/>
        <w:ind w:firstLine="640" w:firstLineChars="200"/>
      </w:pPr>
      <w:r>
        <w:rPr>
          <w:rFonts w:hint="eastAsia" w:cs="仿宋_GB2312"/>
        </w:rPr>
        <w:t>非国有不可移动文物有损毁危险，所有人具备修缮能力而拒不依法履行修缮义务的，市、县（区）人民政府可以进行抢救修缮，所需费用由所有人负担。</w:t>
      </w:r>
    </w:p>
    <w:p>
      <w:pPr>
        <w:overflowPunct w:val="0"/>
        <w:topLinePunct/>
        <w:adjustRightInd w:val="0"/>
        <w:snapToGrid w:val="0"/>
        <w:spacing w:line="560" w:lineRule="exact"/>
        <w:ind w:firstLine="640" w:firstLineChars="200"/>
      </w:pPr>
      <w:r>
        <w:rPr>
          <w:rFonts w:hint="eastAsia" w:eastAsia="黑体" w:cs="黑体"/>
        </w:rPr>
        <w:t>第二十二条</w:t>
      </w:r>
      <w:r>
        <w:rPr>
          <w:rFonts w:eastAsia="黑体"/>
        </w:rPr>
        <w:t xml:space="preserve">  </w:t>
      </w:r>
      <w:r>
        <w:rPr>
          <w:rFonts w:hint="eastAsia" w:cs="仿宋_GB2312"/>
        </w:rPr>
        <w:t>市、县（区）人民政府应当将本级文物行政部门纳入国土利用和规划建设协调决策机制成员单位。</w:t>
      </w:r>
    </w:p>
    <w:p>
      <w:pPr>
        <w:overflowPunct w:val="0"/>
        <w:topLinePunct/>
        <w:adjustRightInd w:val="0"/>
        <w:snapToGrid w:val="0"/>
        <w:spacing w:line="560" w:lineRule="exact"/>
        <w:ind w:firstLine="640" w:firstLineChars="200"/>
      </w:pPr>
      <w:r>
        <w:rPr>
          <w:rFonts w:hint="eastAsia" w:cs="仿宋_GB2312"/>
        </w:rPr>
        <w:t>在实施旧城改造、乡村建设和其他大规模城乡建设项目前，应当依法进行考古调查、勘探，保护新发现的文物。</w:t>
      </w:r>
    </w:p>
    <w:p>
      <w:pPr>
        <w:overflowPunct w:val="0"/>
        <w:topLinePunct/>
        <w:adjustRightInd w:val="0"/>
        <w:snapToGrid w:val="0"/>
        <w:spacing w:line="560" w:lineRule="exact"/>
        <w:ind w:firstLine="640" w:firstLineChars="200"/>
      </w:pPr>
      <w:r>
        <w:rPr>
          <w:rFonts w:hint="eastAsia" w:eastAsia="黑体" w:cs="黑体"/>
        </w:rPr>
        <w:t>第二十三条</w:t>
      </w:r>
      <w:r>
        <w:rPr>
          <w:rFonts w:eastAsia="黑体"/>
        </w:rPr>
        <w:t xml:space="preserve">  </w:t>
      </w:r>
      <w:r>
        <w:rPr>
          <w:rFonts w:hint="eastAsia" w:cs="仿宋_GB2312"/>
        </w:rPr>
        <w:t>建设工程选址，应当尽可能避开不可移动文物；因特殊情况不能避开的，应当尽可能依法实施原址保护；无法实施原址保护，必须迁移异地保护或者拆除的，应当依法报批。全国重点文物保护单位不得拆除。</w:t>
      </w:r>
    </w:p>
    <w:p>
      <w:pPr>
        <w:overflowPunct w:val="0"/>
        <w:topLinePunct/>
        <w:adjustRightInd w:val="0"/>
        <w:snapToGrid w:val="0"/>
        <w:spacing w:line="560" w:lineRule="exact"/>
        <w:ind w:firstLine="640" w:firstLineChars="200"/>
      </w:pPr>
      <w:r>
        <w:rPr>
          <w:rFonts w:hint="eastAsia" w:cs="仿宋_GB2312"/>
        </w:rPr>
        <w:t>本条规定的原址保护、迁移、拆除所需费用，由建设单位列入建设工程预算。</w:t>
      </w:r>
    </w:p>
    <w:p>
      <w:pPr>
        <w:overflowPunct w:val="0"/>
        <w:topLinePunct/>
        <w:adjustRightInd w:val="0"/>
        <w:snapToGrid w:val="0"/>
        <w:spacing w:line="560" w:lineRule="exact"/>
        <w:ind w:firstLine="640" w:firstLineChars="200"/>
      </w:pPr>
      <w:r>
        <w:rPr>
          <w:rFonts w:hint="eastAsia" w:eastAsia="黑体" w:cs="黑体"/>
        </w:rPr>
        <w:t>第二十四条</w:t>
      </w:r>
      <w:r>
        <w:rPr>
          <w:rFonts w:eastAsia="黑体"/>
        </w:rPr>
        <w:t xml:space="preserve">  </w:t>
      </w:r>
      <w:r>
        <w:rPr>
          <w:rFonts w:hint="eastAsia" w:cs="仿宋_GB2312"/>
        </w:rPr>
        <w:t>进行占地二万平方米以上的大型基本建设工程或者在地下文物保护区、水下文物保护区和历史文化名城范围内进行工程建设的，建设单位应当依法报请组织考古调查、勘探。</w:t>
      </w:r>
    </w:p>
    <w:p>
      <w:pPr>
        <w:overflowPunct w:val="0"/>
        <w:topLinePunct/>
        <w:adjustRightInd w:val="0"/>
        <w:snapToGrid w:val="0"/>
        <w:spacing w:line="560" w:lineRule="exact"/>
        <w:ind w:firstLine="640" w:firstLineChars="200"/>
      </w:pPr>
      <w:r>
        <w:rPr>
          <w:rFonts w:hint="eastAsia" w:eastAsia="黑体" w:cs="黑体"/>
        </w:rPr>
        <w:t>第二十五条</w:t>
      </w:r>
      <w:r>
        <w:rPr>
          <w:rFonts w:eastAsia="黑体"/>
        </w:rPr>
        <w:t xml:space="preserve">  </w:t>
      </w:r>
      <w:r>
        <w:rPr>
          <w:rFonts w:hint="eastAsia" w:cs="仿宋_GB2312"/>
        </w:rPr>
        <w:t>在本市行政区域内进行考古调查、勘探、发掘前，考古发掘单位应当向县（区）人民政府文物行政部门交验国务院和省人民政府文物行政部门的批准文件，文物行政部门应当依法对考古发掘单位进行监督。</w:t>
      </w:r>
    </w:p>
    <w:p>
      <w:pPr>
        <w:overflowPunct w:val="0"/>
        <w:topLinePunct/>
        <w:adjustRightInd w:val="0"/>
        <w:snapToGrid w:val="0"/>
        <w:spacing w:line="560" w:lineRule="exact"/>
        <w:ind w:firstLine="640" w:firstLineChars="200"/>
      </w:pPr>
      <w:r>
        <w:rPr>
          <w:rFonts w:hint="eastAsia" w:cs="仿宋_GB2312"/>
        </w:rPr>
        <w:t>考古发掘工作结束后，考古发掘单位应当在省人民政府文物行政部门验收后十五个工作日内向县（区）人民政府文物行政部门提交考古发掘工作总结、出土文物清单，并提出保护工作建议。</w:t>
      </w:r>
    </w:p>
    <w:p>
      <w:pPr>
        <w:overflowPunct w:val="0"/>
        <w:topLinePunct/>
        <w:adjustRightInd w:val="0"/>
        <w:snapToGrid w:val="0"/>
        <w:spacing w:line="560" w:lineRule="exact"/>
        <w:ind w:firstLine="640" w:firstLineChars="200"/>
      </w:pPr>
      <w:r>
        <w:rPr>
          <w:rFonts w:hint="eastAsia" w:cs="仿宋_GB2312"/>
        </w:rPr>
        <w:t>考古发掘单位开展工作中发现的文物、标本等，应当依法存放、移交。</w:t>
      </w:r>
    </w:p>
    <w:p>
      <w:pPr>
        <w:overflowPunct w:val="0"/>
        <w:topLinePunct/>
        <w:adjustRightInd w:val="0"/>
        <w:snapToGrid w:val="0"/>
        <w:spacing w:line="560" w:lineRule="exact"/>
        <w:ind w:firstLine="640" w:firstLineChars="200"/>
        <w:rPr>
          <w:rFonts w:ascii="仿宋_GB2312"/>
        </w:rPr>
      </w:pPr>
      <w:r>
        <w:rPr>
          <w:rFonts w:hint="eastAsia" w:eastAsia="黑体" w:cs="黑体"/>
        </w:rPr>
        <w:t>第二十六条</w:t>
      </w:r>
      <w:r>
        <w:rPr>
          <w:rFonts w:eastAsia="黑体"/>
        </w:rPr>
        <w:t xml:space="preserve">  </w:t>
      </w:r>
      <w:r>
        <w:rPr>
          <w:rFonts w:hint="eastAsia" w:ascii="仿宋_GB2312" w:cs="仿宋_GB2312"/>
        </w:rPr>
        <w:t>在工程建设和生产活动中，发现文物或者疑似文物的，应当按照下列程序处置：</w:t>
      </w:r>
    </w:p>
    <w:p>
      <w:pPr>
        <w:overflowPunct w:val="0"/>
        <w:topLinePunct/>
        <w:adjustRightInd w:val="0"/>
        <w:snapToGrid w:val="0"/>
        <w:spacing w:line="560" w:lineRule="exact"/>
        <w:ind w:firstLine="640" w:firstLineChars="200"/>
        <w:rPr>
          <w:rFonts w:ascii="仿宋_GB2312"/>
        </w:rPr>
      </w:pPr>
      <w:r>
        <w:rPr>
          <w:rFonts w:hint="eastAsia" w:ascii="仿宋_GB2312" w:cs="仿宋_GB2312"/>
        </w:rPr>
        <w:t>（一）施工单位或者生产经营者应当立即停止工程施工或者生产活动，保护好现场，及时向县（区）人民政府文物行政部门报告，并向文物行政部门上交出土文物。有哄抢文物行为或者风险的，应当同时报告公安机关；</w:t>
      </w:r>
    </w:p>
    <w:p>
      <w:pPr>
        <w:overflowPunct w:val="0"/>
        <w:topLinePunct/>
        <w:adjustRightInd w:val="0"/>
        <w:snapToGrid w:val="0"/>
        <w:spacing w:line="560" w:lineRule="exact"/>
        <w:ind w:firstLine="640" w:firstLineChars="200"/>
        <w:rPr>
          <w:rFonts w:ascii="仿宋_GB2312"/>
        </w:rPr>
      </w:pPr>
      <w:r>
        <w:rPr>
          <w:rFonts w:hint="eastAsia" w:ascii="仿宋_GB2312" w:cs="仿宋_GB2312"/>
        </w:rPr>
        <w:t>（二）县（区）人民政府文物行政部门、公安机关接到报告后，应当立即赶赴现场，依法采取保护措施；</w:t>
      </w:r>
    </w:p>
    <w:p>
      <w:pPr>
        <w:overflowPunct w:val="0"/>
        <w:topLinePunct/>
        <w:adjustRightInd w:val="0"/>
        <w:snapToGrid w:val="0"/>
        <w:spacing w:line="560" w:lineRule="exact"/>
        <w:ind w:firstLine="640" w:firstLineChars="200"/>
        <w:rPr>
          <w:rFonts w:ascii="仿宋_GB2312"/>
        </w:rPr>
      </w:pPr>
      <w:r>
        <w:rPr>
          <w:rFonts w:hint="eastAsia" w:ascii="仿宋_GB2312" w:cs="仿宋_GB2312"/>
        </w:rPr>
        <w:t>（三）县（区）人民政府文物行政部门应当在七日内提出处理意见，需要进行考古勘探、发掘的，依法组织实施；</w:t>
      </w:r>
    </w:p>
    <w:p>
      <w:pPr>
        <w:overflowPunct w:val="0"/>
        <w:topLinePunct/>
        <w:adjustRightInd w:val="0"/>
        <w:snapToGrid w:val="0"/>
        <w:spacing w:line="560" w:lineRule="exact"/>
        <w:ind w:firstLine="640" w:firstLineChars="200"/>
        <w:rPr>
          <w:rFonts w:ascii="仿宋_GB2312"/>
        </w:rPr>
      </w:pPr>
      <w:r>
        <w:rPr>
          <w:rFonts w:hint="eastAsia" w:ascii="仿宋_GB2312" w:cs="仿宋_GB2312"/>
        </w:rPr>
        <w:t>（四）发现重要文物需要实施原址保护的，市、县（区）人民政府与建设单位协商后，可以另行安排用地或者收回土地使用权、退还已交纳的土地出让金；造成建设单位或者生产经营者经济损失的，依法给予补偿。</w:t>
      </w:r>
    </w:p>
    <w:p>
      <w:pPr>
        <w:overflowPunct w:val="0"/>
        <w:topLinePunct/>
        <w:adjustRightInd w:val="0"/>
        <w:snapToGrid w:val="0"/>
        <w:spacing w:line="560" w:lineRule="exact"/>
        <w:ind w:firstLine="640" w:firstLineChars="200"/>
        <w:rPr>
          <w:rFonts w:ascii="仿宋_GB2312"/>
        </w:rPr>
      </w:pPr>
      <w:r>
        <w:rPr>
          <w:rFonts w:hint="eastAsia" w:ascii="仿宋_GB2312" w:cs="仿宋_GB2312"/>
        </w:rPr>
        <w:t>依照前款规定发现的文物属于国家所有，任何单位或者个人不得哄抢、私分、藏匿。</w:t>
      </w:r>
    </w:p>
    <w:p>
      <w:pPr>
        <w:topLinePunct/>
        <w:spacing w:line="560" w:lineRule="exact"/>
        <w:ind w:firstLine="640" w:firstLineChars="200"/>
      </w:pPr>
      <w:r>
        <w:rPr>
          <w:rFonts w:hint="eastAsia" w:eastAsia="黑体" w:cs="黑体"/>
        </w:rPr>
        <w:t>第二十七条</w:t>
      </w:r>
      <w:r>
        <w:rPr>
          <w:rFonts w:eastAsia="黑体"/>
        </w:rPr>
        <w:t xml:space="preserve">  </w:t>
      </w:r>
      <w:r>
        <w:rPr>
          <w:rFonts w:hint="eastAsia" w:cs="仿宋_GB2312"/>
        </w:rPr>
        <w:t>市、县（区）人民政府应当保障公民、法人和其他组织合理利用文物的合法权益。</w:t>
      </w:r>
    </w:p>
    <w:p>
      <w:pPr>
        <w:overflowPunct w:val="0"/>
        <w:topLinePunct/>
        <w:adjustRightInd w:val="0"/>
        <w:snapToGrid w:val="0"/>
        <w:spacing w:line="560" w:lineRule="exact"/>
        <w:ind w:firstLine="640" w:firstLineChars="200"/>
      </w:pPr>
      <w:r>
        <w:rPr>
          <w:rFonts w:hint="eastAsia" w:cs="仿宋_GB2312"/>
        </w:rPr>
        <w:t>文物利用应当以确保文物安全为前提，将社会效益放在首位，禁止不当利用、过度开发。</w:t>
      </w:r>
    </w:p>
    <w:p>
      <w:pPr>
        <w:overflowPunct w:val="0"/>
        <w:topLinePunct/>
        <w:adjustRightInd w:val="0"/>
        <w:snapToGrid w:val="0"/>
        <w:spacing w:line="560" w:lineRule="exact"/>
        <w:ind w:firstLine="640" w:firstLineChars="200"/>
      </w:pPr>
      <w:r>
        <w:rPr>
          <w:rFonts w:hint="eastAsia" w:eastAsia="黑体" w:cs="黑体"/>
        </w:rPr>
        <w:t>第二十八条</w:t>
      </w:r>
      <w:r>
        <w:rPr>
          <w:rFonts w:eastAsia="黑体"/>
        </w:rPr>
        <w:t xml:space="preserve">  </w:t>
      </w:r>
      <w:r>
        <w:rPr>
          <w:rFonts w:hint="eastAsia" w:cs="仿宋_GB2312"/>
        </w:rPr>
        <w:t>市、县（区）人民政府应当制定扶持政策，鼓励企业、事业单位、社会团体和公民等社会力量依法设立博物馆、纪念馆等，文物行政部门应当提供必要的信息、服务和技术指导。</w:t>
      </w:r>
    </w:p>
    <w:p>
      <w:pPr>
        <w:overflowPunct w:val="0"/>
        <w:topLinePunct/>
        <w:adjustRightInd w:val="0"/>
        <w:snapToGrid w:val="0"/>
        <w:spacing w:line="560" w:lineRule="exact"/>
        <w:ind w:firstLine="640" w:firstLineChars="200"/>
      </w:pPr>
      <w:r>
        <w:rPr>
          <w:rFonts w:hint="eastAsia" w:cs="仿宋_GB2312"/>
        </w:rPr>
        <w:t>社会力量投资保护修缮市级以下国有不可移动文物的，可以在约定期限内依法使用并享有相关收益，不得改变所有权。</w:t>
      </w:r>
    </w:p>
    <w:p>
      <w:pPr>
        <w:overflowPunct w:val="0"/>
        <w:topLinePunct/>
        <w:adjustRightInd w:val="0"/>
        <w:snapToGrid w:val="0"/>
        <w:spacing w:line="560" w:lineRule="exact"/>
        <w:ind w:firstLine="640" w:firstLineChars="200"/>
      </w:pPr>
      <w:r>
        <w:rPr>
          <w:rFonts w:hint="eastAsia" w:eastAsia="黑体" w:cs="黑体"/>
        </w:rPr>
        <w:t>第二十九条</w:t>
      </w:r>
      <w:r>
        <w:rPr>
          <w:rFonts w:eastAsia="黑体"/>
        </w:rPr>
        <w:t xml:space="preserve">  </w:t>
      </w:r>
      <w:r>
        <w:rPr>
          <w:rFonts w:hint="eastAsia" w:cs="仿宋_GB2312"/>
        </w:rPr>
        <w:t>具备对公众开放条件的文物保护单位和文物收藏单位，可以允许参观、游览和科学研究。</w:t>
      </w:r>
    </w:p>
    <w:p>
      <w:pPr>
        <w:overflowPunct w:val="0"/>
        <w:topLinePunct/>
        <w:adjustRightInd w:val="0"/>
        <w:snapToGrid w:val="0"/>
        <w:spacing w:line="560" w:lineRule="exact"/>
        <w:ind w:firstLine="640" w:firstLineChars="200"/>
      </w:pPr>
      <w:r>
        <w:rPr>
          <w:rFonts w:hint="eastAsia" w:cs="仿宋_GB2312"/>
        </w:rPr>
        <w:t>国有文物保护单位中的古建筑或者纪念建筑物，用作除博物馆、保管所或者参观、游览场所外其他用途的，应当根据文物保护单位的级别，按照法定程序报核定公布该文物保护单位的人民政府批准。</w:t>
      </w:r>
    </w:p>
    <w:p>
      <w:pPr>
        <w:overflowPunct w:val="0"/>
        <w:topLinePunct/>
        <w:adjustRightInd w:val="0"/>
        <w:snapToGrid w:val="0"/>
        <w:spacing w:line="560" w:lineRule="exact"/>
        <w:ind w:firstLine="640" w:firstLineChars="200"/>
      </w:pPr>
      <w:r>
        <w:rPr>
          <w:rFonts w:hint="eastAsia" w:eastAsia="黑体" w:cs="黑体"/>
        </w:rPr>
        <w:t>第三十条</w:t>
      </w:r>
      <w:r>
        <w:rPr>
          <w:rFonts w:eastAsia="黑体"/>
        </w:rPr>
        <w:t xml:space="preserve">  </w:t>
      </w:r>
      <w:r>
        <w:rPr>
          <w:rFonts w:hint="eastAsia" w:cs="仿宋_GB2312"/>
        </w:rPr>
        <w:t>博物馆、图书馆、纪念馆、档案馆、学校和其他文物收藏单位应当妥善保管收藏的文物，依法区分文物等级，设置藏品档案，建立管理制度，并报主管的文物行政部门备案，接受文物行政部门的指导和监督。</w:t>
      </w:r>
    </w:p>
    <w:p>
      <w:pPr>
        <w:overflowPunct w:val="0"/>
        <w:topLinePunct/>
        <w:adjustRightInd w:val="0"/>
        <w:snapToGrid w:val="0"/>
        <w:spacing w:line="560" w:lineRule="exact"/>
        <w:ind w:firstLine="640" w:firstLineChars="200"/>
      </w:pPr>
      <w:r>
        <w:rPr>
          <w:rFonts w:hint="eastAsia" w:eastAsia="黑体" w:cs="黑体"/>
        </w:rPr>
        <w:t>第三十一条</w:t>
      </w:r>
      <w:r>
        <w:rPr>
          <w:rFonts w:eastAsia="黑体"/>
        </w:rPr>
        <w:t xml:space="preserve">  </w:t>
      </w:r>
      <w:r>
        <w:rPr>
          <w:rFonts w:hint="eastAsia" w:cs="仿宋_GB2312"/>
        </w:rPr>
        <w:t>文物收藏单位应当利用收藏的文物开展科学研究、展示、教育等活动。</w:t>
      </w:r>
    </w:p>
    <w:p>
      <w:pPr>
        <w:overflowPunct w:val="0"/>
        <w:topLinePunct/>
        <w:adjustRightInd w:val="0"/>
        <w:snapToGrid w:val="0"/>
        <w:spacing w:line="560" w:lineRule="exact"/>
        <w:ind w:firstLine="640" w:firstLineChars="200"/>
      </w:pPr>
      <w:r>
        <w:rPr>
          <w:rFonts w:hint="eastAsia" w:cs="仿宋_GB2312"/>
        </w:rPr>
        <w:t>鼓励文物收藏单位以外的公民、法人和其他组织将其收藏的文物捐赠给国有文物收藏单位或者出借给文物收藏单位，文物收藏单位应当对接受捐赠或者借用的文物妥善保管和展示。</w:t>
      </w:r>
    </w:p>
    <w:p>
      <w:pPr>
        <w:topLinePunct/>
        <w:spacing w:line="560" w:lineRule="exact"/>
        <w:ind w:firstLine="640" w:firstLineChars="200"/>
      </w:pPr>
      <w:r>
        <w:rPr>
          <w:rFonts w:hint="eastAsia" w:ascii="黑体" w:eastAsia="黑体" w:cs="黑体"/>
        </w:rPr>
        <w:t>第三十二条</w:t>
      </w:r>
      <w:r>
        <w:t xml:space="preserve">  </w:t>
      </w:r>
      <w:r>
        <w:rPr>
          <w:rFonts w:hint="eastAsia" w:cs="仿宋_GB2312"/>
        </w:rPr>
        <w:t>市、县（区）人民政府应当充分发挥文物资源在壮大文化旅游产业、促进经济社会发展中的重要作用。</w:t>
      </w:r>
    </w:p>
    <w:p>
      <w:pPr>
        <w:topLinePunct/>
        <w:spacing w:line="560" w:lineRule="exact"/>
        <w:ind w:firstLine="640" w:firstLineChars="200"/>
      </w:pPr>
      <w:r>
        <w:rPr>
          <w:rFonts w:hint="eastAsia" w:cs="仿宋_GB2312"/>
        </w:rPr>
        <w:t>鼓励支持文物保护单位、博物馆、文化创意企业等开发文化创意产品，培育以博物馆、纪念馆、文物保护单位作为旅游要素的研学旅行、红色教育等旅游产品和旅游新业态。</w:t>
      </w:r>
    </w:p>
    <w:p>
      <w:pPr>
        <w:overflowPunct w:val="0"/>
        <w:topLinePunct/>
        <w:adjustRightInd w:val="0"/>
        <w:snapToGrid w:val="0"/>
        <w:spacing w:line="560" w:lineRule="exact"/>
        <w:ind w:firstLine="640" w:firstLineChars="200"/>
      </w:pPr>
      <w:r>
        <w:rPr>
          <w:rFonts w:hint="eastAsia" w:eastAsia="黑体" w:cs="黑体"/>
        </w:rPr>
        <w:t>第三十三条</w:t>
      </w:r>
      <w:r>
        <w:rPr>
          <w:rFonts w:eastAsia="黑体"/>
        </w:rPr>
        <w:t xml:space="preserve">  </w:t>
      </w:r>
      <w:r>
        <w:rPr>
          <w:rFonts w:hint="eastAsia" w:cs="仿宋_GB2312"/>
        </w:rPr>
        <w:t>博物馆、纪念馆、文物保护单位等应当发挥社会教育功能，传播有益于社会进步的思想道德、科学技术和文化知识，弘扬社会主义核心价值观。</w:t>
      </w:r>
    </w:p>
    <w:p>
      <w:pPr>
        <w:overflowPunct w:val="0"/>
        <w:topLinePunct/>
        <w:adjustRightInd w:val="0"/>
        <w:snapToGrid w:val="0"/>
        <w:spacing w:line="560" w:lineRule="exact"/>
        <w:ind w:firstLine="640" w:firstLineChars="200"/>
      </w:pPr>
      <w:r>
        <w:rPr>
          <w:rFonts w:hint="eastAsia" w:cs="仿宋_GB2312"/>
        </w:rPr>
        <w:t>充分发挥博物馆、纪念馆对青少年优秀历史传统文化教育的作用，鼓励学校结合课程设置和教学计划，组织学生到博物馆、纪念馆开展学习实践活动。</w:t>
      </w:r>
      <w:r>
        <w:t xml:space="preserve">   </w:t>
      </w:r>
    </w:p>
    <w:p>
      <w:pPr>
        <w:overflowPunct w:val="0"/>
        <w:topLinePunct/>
        <w:adjustRightInd w:val="0"/>
        <w:snapToGrid w:val="0"/>
        <w:spacing w:line="560" w:lineRule="exact"/>
        <w:jc w:val="center"/>
        <w:rPr>
          <w:rFonts w:eastAsia="黑体" w:cs="黑体"/>
        </w:rPr>
      </w:pPr>
    </w:p>
    <w:p>
      <w:pPr>
        <w:overflowPunct w:val="0"/>
        <w:topLinePunct/>
        <w:adjustRightInd w:val="0"/>
        <w:snapToGrid w:val="0"/>
        <w:spacing w:before="156" w:beforeLines="50" w:after="156" w:afterLines="50" w:line="560" w:lineRule="exact"/>
        <w:jc w:val="center"/>
        <w:rPr>
          <w:rFonts w:eastAsia="黑体" w:cs="黑体"/>
        </w:rPr>
      </w:pPr>
      <w:r>
        <w:rPr>
          <w:rFonts w:hint="eastAsia" w:eastAsia="黑体" w:cs="黑体"/>
        </w:rPr>
        <w:t>第</w:t>
      </w:r>
      <w:r>
        <w:rPr>
          <w:rFonts w:eastAsia="黑体" w:cs="黑体"/>
        </w:rPr>
        <w:t xml:space="preserve">三章  </w:t>
      </w:r>
      <w:r>
        <w:rPr>
          <w:rFonts w:hint="eastAsia" w:eastAsia="黑体" w:cs="黑体"/>
        </w:rPr>
        <w:t>监督管理</w:t>
      </w:r>
    </w:p>
    <w:p>
      <w:pPr>
        <w:pStyle w:val="2"/>
        <w:spacing w:after="0" w:line="560" w:lineRule="exact"/>
        <w:ind w:left="1276" w:leftChars="0" w:firstLine="0" w:firstLineChars="0"/>
        <w:rPr>
          <w:rFonts w:hint="eastAsia"/>
        </w:rPr>
      </w:pPr>
    </w:p>
    <w:p>
      <w:pPr>
        <w:overflowPunct w:val="0"/>
        <w:topLinePunct/>
        <w:adjustRightInd w:val="0"/>
        <w:snapToGrid w:val="0"/>
        <w:spacing w:line="560" w:lineRule="exact"/>
        <w:ind w:firstLine="640" w:firstLineChars="200"/>
      </w:pPr>
      <w:r>
        <w:rPr>
          <w:rFonts w:hint="eastAsia" w:eastAsia="黑体" w:cs="黑体"/>
        </w:rPr>
        <w:t>第三十四条</w:t>
      </w:r>
      <w:r>
        <w:rPr>
          <w:rFonts w:eastAsia="黑体"/>
        </w:rPr>
        <w:t xml:space="preserve">  </w:t>
      </w:r>
      <w:r>
        <w:rPr>
          <w:rFonts w:hint="eastAsia" w:cs="仿宋_GB2312"/>
        </w:rPr>
        <w:t>市、县（区）人民政府有关部门应当建立信息共享机制。</w:t>
      </w:r>
    </w:p>
    <w:p>
      <w:pPr>
        <w:overflowPunct w:val="0"/>
        <w:topLinePunct/>
        <w:adjustRightInd w:val="0"/>
        <w:snapToGrid w:val="0"/>
        <w:spacing w:line="560" w:lineRule="exact"/>
        <w:ind w:firstLine="640" w:firstLineChars="200"/>
      </w:pPr>
      <w:r>
        <w:rPr>
          <w:rFonts w:hint="eastAsia" w:cs="仿宋_GB2312"/>
        </w:rPr>
        <w:t>文物行政部门应当将不可移动文物名称、保护范围、建设控制地带及相关文物保护要求等信息及时告知本级人民政府有关部门。</w:t>
      </w:r>
    </w:p>
    <w:p>
      <w:pPr>
        <w:overflowPunct w:val="0"/>
        <w:topLinePunct/>
        <w:adjustRightInd w:val="0"/>
        <w:snapToGrid w:val="0"/>
        <w:spacing w:line="560" w:lineRule="exact"/>
        <w:ind w:firstLine="640" w:firstLineChars="200"/>
      </w:pPr>
      <w:r>
        <w:rPr>
          <w:rFonts w:hint="eastAsia" w:cs="仿宋_GB2312"/>
        </w:rPr>
        <w:t>负责建设项目选址审查的部门，涉及不可移动文物的，应当征求同级文物行政部门意见，并将最终选址结果告知同级文物行政部门。</w:t>
      </w:r>
    </w:p>
    <w:p>
      <w:pPr>
        <w:overflowPunct w:val="0"/>
        <w:topLinePunct/>
        <w:adjustRightInd w:val="0"/>
        <w:snapToGrid w:val="0"/>
        <w:spacing w:line="560" w:lineRule="exact"/>
        <w:ind w:firstLine="640" w:firstLineChars="200"/>
      </w:pPr>
      <w:r>
        <w:rPr>
          <w:rFonts w:hint="eastAsia" w:cs="仿宋_GB2312"/>
        </w:rPr>
        <w:t>负责土地公开出让的部门，在出让公告中，应当告知不可移动文物及其保护范围、建设控制地带、文物保护要求等信息。</w:t>
      </w:r>
    </w:p>
    <w:p>
      <w:pPr>
        <w:overflowPunct w:val="0"/>
        <w:topLinePunct/>
        <w:adjustRightInd w:val="0"/>
        <w:snapToGrid w:val="0"/>
        <w:spacing w:line="560" w:lineRule="exact"/>
        <w:ind w:firstLine="640" w:firstLineChars="200"/>
      </w:pPr>
      <w:r>
        <w:rPr>
          <w:rFonts w:hint="eastAsia" w:eastAsia="黑体" w:cs="黑体"/>
        </w:rPr>
        <w:t>第三十五条</w:t>
      </w:r>
      <w:r>
        <w:rPr>
          <w:rFonts w:eastAsia="黑体"/>
        </w:rPr>
        <w:t xml:space="preserve">  </w:t>
      </w:r>
      <w:r>
        <w:rPr>
          <w:rFonts w:hint="eastAsia" w:cs="仿宋_GB2312"/>
        </w:rPr>
        <w:t>不可移动文物保护管理机构、文物收藏单位和其他收藏文物的单位，应当建立健全文物安全制度，落实安全责任，配备防火、防盗、防破坏、防自然损坏的设施设备。</w:t>
      </w:r>
    </w:p>
    <w:p>
      <w:pPr>
        <w:overflowPunct w:val="0"/>
        <w:topLinePunct/>
        <w:adjustRightInd w:val="0"/>
        <w:snapToGrid w:val="0"/>
        <w:spacing w:line="560" w:lineRule="exact"/>
        <w:ind w:firstLine="640" w:firstLineChars="200"/>
      </w:pPr>
      <w:r>
        <w:rPr>
          <w:rFonts w:hint="eastAsia" w:cs="仿宋_GB2312"/>
        </w:rPr>
        <w:t>消防救援机构负责不可移动文物保护管理机构、文物收藏单位和其他收藏文物的单位的建筑消防监督工作，指导开展消防安全工作。</w:t>
      </w:r>
    </w:p>
    <w:p>
      <w:pPr>
        <w:overflowPunct w:val="0"/>
        <w:topLinePunct/>
        <w:adjustRightInd w:val="0"/>
        <w:snapToGrid w:val="0"/>
        <w:spacing w:line="560" w:lineRule="exact"/>
        <w:ind w:firstLine="640" w:firstLineChars="200"/>
      </w:pPr>
      <w:r>
        <w:rPr>
          <w:rFonts w:hint="eastAsia" w:eastAsia="黑体" w:cs="黑体"/>
        </w:rPr>
        <w:t>第三十六条</w:t>
      </w:r>
      <w:r>
        <w:rPr>
          <w:rFonts w:eastAsia="黑体"/>
        </w:rPr>
        <w:t xml:space="preserve">  </w:t>
      </w:r>
      <w:r>
        <w:rPr>
          <w:rFonts w:hint="eastAsia" w:cs="仿宋_GB2312"/>
        </w:rPr>
        <w:t>市、县（区）人民政府应当畅通文物违法举报渠道，依法受理公民、法人和其他组织举报的破坏文物的信息和线索。</w:t>
      </w:r>
    </w:p>
    <w:p>
      <w:pPr>
        <w:overflowPunct w:val="0"/>
        <w:topLinePunct/>
        <w:adjustRightInd w:val="0"/>
        <w:snapToGrid w:val="0"/>
        <w:spacing w:line="560" w:lineRule="exact"/>
        <w:ind w:firstLine="640" w:firstLineChars="200"/>
      </w:pPr>
      <w:r>
        <w:rPr>
          <w:rFonts w:hint="eastAsia" w:cs="仿宋_GB2312"/>
        </w:rPr>
        <w:t>市、县（区）人民政府应当明确文物执法机构及其职能，配备相应的文物专业人员，依法查处文物违法行为。</w:t>
      </w:r>
    </w:p>
    <w:p>
      <w:pPr>
        <w:overflowPunct w:val="0"/>
        <w:topLinePunct/>
        <w:adjustRightInd w:val="0"/>
        <w:snapToGrid w:val="0"/>
        <w:spacing w:line="560" w:lineRule="exact"/>
        <w:ind w:firstLine="640" w:firstLineChars="200"/>
      </w:pPr>
      <w:r>
        <w:rPr>
          <w:rFonts w:hint="eastAsia" w:eastAsia="黑体" w:cs="黑体"/>
        </w:rPr>
        <w:t>第三十七条</w:t>
      </w:r>
      <w:r>
        <w:rPr>
          <w:rFonts w:eastAsia="黑体"/>
        </w:rPr>
        <w:t xml:space="preserve">  </w:t>
      </w:r>
      <w:r>
        <w:rPr>
          <w:rFonts w:hint="eastAsia" w:cs="仿宋_GB2312"/>
        </w:rPr>
        <w:t>人民法院、人民检察院、公安机关、海关和市场监督管理等部门依法追缴的涉案文物，应当登记造册，妥善保管，并在结案后三十日内无偿交还失主或者移交给同级文物行政部门。</w:t>
      </w:r>
    </w:p>
    <w:p>
      <w:pPr>
        <w:overflowPunct w:val="0"/>
        <w:topLinePunct/>
        <w:adjustRightInd w:val="0"/>
        <w:snapToGrid w:val="0"/>
        <w:spacing w:line="560" w:lineRule="exact"/>
        <w:jc w:val="center"/>
        <w:rPr>
          <w:rFonts w:eastAsia="黑体" w:cs="黑体"/>
        </w:rPr>
      </w:pPr>
    </w:p>
    <w:p>
      <w:pPr>
        <w:overflowPunct w:val="0"/>
        <w:topLinePunct/>
        <w:adjustRightInd w:val="0"/>
        <w:snapToGrid w:val="0"/>
        <w:spacing w:line="560" w:lineRule="exact"/>
        <w:jc w:val="center"/>
        <w:rPr>
          <w:rFonts w:eastAsia="黑体" w:cs="黑体"/>
        </w:rPr>
      </w:pPr>
      <w:r>
        <w:rPr>
          <w:rFonts w:hint="eastAsia" w:eastAsia="黑体" w:cs="黑体"/>
        </w:rPr>
        <w:t>第四章</w:t>
      </w:r>
      <w:r>
        <w:rPr>
          <w:rFonts w:eastAsia="黑体"/>
        </w:rPr>
        <w:t xml:space="preserve">  </w:t>
      </w:r>
      <w:r>
        <w:rPr>
          <w:rFonts w:hint="eastAsia" w:eastAsia="黑体" w:cs="黑体"/>
        </w:rPr>
        <w:t>法律责任</w:t>
      </w:r>
    </w:p>
    <w:p>
      <w:pPr>
        <w:pStyle w:val="2"/>
        <w:spacing w:after="0" w:line="560" w:lineRule="exact"/>
        <w:ind w:left="640" w:firstLine="640"/>
        <w:rPr>
          <w:rFonts w:hint="eastAsia"/>
        </w:rPr>
      </w:pPr>
    </w:p>
    <w:p>
      <w:pPr>
        <w:overflowPunct w:val="0"/>
        <w:topLinePunct/>
        <w:adjustRightInd w:val="0"/>
        <w:snapToGrid w:val="0"/>
        <w:spacing w:line="560" w:lineRule="exact"/>
        <w:ind w:firstLine="640" w:firstLineChars="200"/>
      </w:pPr>
      <w:r>
        <w:rPr>
          <w:rFonts w:hint="eastAsia" w:eastAsia="黑体" w:cs="黑体"/>
        </w:rPr>
        <w:t>第三十八条</w:t>
      </w:r>
      <w:r>
        <w:rPr>
          <w:rFonts w:eastAsia="黑体"/>
        </w:rPr>
        <w:t xml:space="preserve">  </w:t>
      </w:r>
      <w:r>
        <w:rPr>
          <w:rFonts w:hint="eastAsia" w:cs="仿宋_GB2312"/>
        </w:rPr>
        <w:t>对违反本条例规定的行为，法律、法规已规定法律责任的，适用其规定。</w:t>
      </w:r>
    </w:p>
    <w:p>
      <w:pPr>
        <w:overflowPunct w:val="0"/>
        <w:topLinePunct/>
        <w:adjustRightInd w:val="0"/>
        <w:snapToGrid w:val="0"/>
        <w:spacing w:line="560" w:lineRule="exact"/>
        <w:ind w:firstLine="640" w:firstLineChars="200"/>
      </w:pPr>
      <w:r>
        <w:rPr>
          <w:rFonts w:hint="eastAsia" w:cs="仿宋_GB2312"/>
        </w:rPr>
        <w:t>违反本条例规定，构成犯罪的，依法追究刑事责任。</w:t>
      </w:r>
    </w:p>
    <w:p>
      <w:pPr>
        <w:overflowPunct w:val="0"/>
        <w:topLinePunct/>
        <w:adjustRightInd w:val="0"/>
        <w:snapToGrid w:val="0"/>
        <w:spacing w:line="560" w:lineRule="exact"/>
        <w:ind w:firstLine="640" w:firstLineChars="200"/>
      </w:pPr>
      <w:r>
        <w:rPr>
          <w:rFonts w:hint="eastAsia" w:eastAsia="黑体" w:cs="黑体"/>
        </w:rPr>
        <w:t>第三十九条</w:t>
      </w:r>
      <w:r>
        <w:rPr>
          <w:rFonts w:eastAsia="黑体"/>
        </w:rPr>
        <w:t xml:space="preserve">  </w:t>
      </w:r>
      <w:r>
        <w:rPr>
          <w:rFonts w:hint="eastAsia" w:cs="仿宋_GB2312"/>
        </w:rPr>
        <w:t>违反本条例规定，攀爬、踩踏、刻划、涂污、损坏不可移动文物情节轻微的，或者损毁、擅自移动文物保护单位保护标志和保护界桩，未造成严重后果的，由公安机关或者文物所在单位责令恢复原状，给予警告，可以并处二百元以下罚款；造成严重后果的，由公安机关依照《中华人民共和国治安管理处罚法》的有关规定予以处罚；造成损失的，依法赔偿损失。</w:t>
      </w:r>
    </w:p>
    <w:p>
      <w:pPr>
        <w:overflowPunct w:val="0"/>
        <w:topLinePunct/>
        <w:adjustRightInd w:val="0"/>
        <w:snapToGrid w:val="0"/>
        <w:spacing w:line="560" w:lineRule="exact"/>
        <w:ind w:firstLine="640" w:firstLineChars="200"/>
      </w:pPr>
      <w:r>
        <w:rPr>
          <w:rFonts w:hint="eastAsia" w:eastAsia="黑体" w:cs="黑体"/>
        </w:rPr>
        <w:t>第四十条</w:t>
      </w:r>
      <w:r>
        <w:t xml:space="preserve">  </w:t>
      </w:r>
      <w:r>
        <w:rPr>
          <w:rFonts w:hint="eastAsia" w:cs="仿宋_GB2312"/>
        </w:rPr>
        <w:t>按照相对集中行政处罚权有关规定，文物保护行政处罚权集中由综合行政执法部门实施的，由综合行政执法部门在本辖区内行使文物保护行政处罚权。</w:t>
      </w:r>
    </w:p>
    <w:p>
      <w:pPr>
        <w:overflowPunct w:val="0"/>
        <w:topLinePunct/>
        <w:adjustRightInd w:val="0"/>
        <w:snapToGrid w:val="0"/>
        <w:spacing w:line="560" w:lineRule="exact"/>
        <w:ind w:firstLine="640" w:firstLineChars="200"/>
      </w:pPr>
      <w:r>
        <w:rPr>
          <w:rFonts w:hint="eastAsia" w:eastAsia="黑体" w:cs="黑体"/>
        </w:rPr>
        <w:t>第四十一条</w:t>
      </w:r>
      <w:r>
        <w:rPr>
          <w:rFonts w:eastAsia="黑体"/>
        </w:rPr>
        <w:t xml:space="preserve">  </w:t>
      </w:r>
      <w:r>
        <w:rPr>
          <w:rFonts w:hint="eastAsia" w:cs="仿宋_GB2312"/>
        </w:rPr>
        <w:t>文物行政部门和其他行政管理部门及其工作人员违反本条例规定，滥用职权、玩忽职守、徇私舞弊的，对负有责任的主管人员和其他直接责任人员依法给予处分。</w:t>
      </w:r>
    </w:p>
    <w:p>
      <w:pPr>
        <w:overflowPunct w:val="0"/>
        <w:topLinePunct/>
        <w:adjustRightInd w:val="0"/>
        <w:snapToGrid w:val="0"/>
        <w:spacing w:line="560" w:lineRule="exact"/>
        <w:jc w:val="center"/>
        <w:rPr>
          <w:rFonts w:eastAsia="黑体" w:cs="黑体"/>
        </w:rPr>
      </w:pPr>
    </w:p>
    <w:p>
      <w:pPr>
        <w:overflowPunct w:val="0"/>
        <w:topLinePunct/>
        <w:adjustRightInd w:val="0"/>
        <w:snapToGrid w:val="0"/>
        <w:spacing w:line="560" w:lineRule="exact"/>
        <w:jc w:val="center"/>
        <w:rPr>
          <w:rFonts w:eastAsia="黑体" w:cs="黑体"/>
        </w:rPr>
      </w:pPr>
      <w:r>
        <w:rPr>
          <w:rFonts w:hint="eastAsia" w:eastAsia="黑体" w:cs="黑体"/>
        </w:rPr>
        <w:t>第五章</w:t>
      </w:r>
      <w:r>
        <w:rPr>
          <w:rFonts w:eastAsia="黑体"/>
        </w:rPr>
        <w:t xml:space="preserve">  </w:t>
      </w:r>
      <w:r>
        <w:rPr>
          <w:rFonts w:hint="eastAsia" w:eastAsia="黑体" w:cs="黑体"/>
        </w:rPr>
        <w:t>附则</w:t>
      </w:r>
    </w:p>
    <w:p>
      <w:pPr>
        <w:pStyle w:val="2"/>
        <w:spacing w:after="0" w:line="560" w:lineRule="exact"/>
        <w:ind w:left="640" w:firstLine="640"/>
        <w:rPr>
          <w:rFonts w:hint="eastAsia"/>
        </w:rPr>
      </w:pPr>
    </w:p>
    <w:p>
      <w:pPr>
        <w:overflowPunct w:val="0"/>
        <w:topLinePunct/>
        <w:adjustRightInd w:val="0"/>
        <w:snapToGrid w:val="0"/>
        <w:spacing w:line="560" w:lineRule="exact"/>
        <w:ind w:firstLine="640" w:firstLineChars="200"/>
      </w:pPr>
      <w:r>
        <w:rPr>
          <w:rFonts w:hint="eastAsia" w:eastAsia="黑体" w:cs="黑体"/>
        </w:rPr>
        <w:t>第四十二条</w:t>
      </w:r>
      <w:r>
        <w:rPr>
          <w:rFonts w:eastAsia="黑体"/>
        </w:rPr>
        <w:t xml:space="preserve">  </w:t>
      </w:r>
      <w:r>
        <w:rPr>
          <w:rFonts w:hint="eastAsia" w:cs="仿宋_GB2312"/>
        </w:rPr>
        <w:t>本条例自</w:t>
      </w:r>
      <w:r>
        <w:rPr>
          <w:rFonts w:hint="eastAsia" w:ascii="仿宋_GB2312"/>
        </w:rPr>
        <w:t>2021</w:t>
      </w:r>
      <w:r>
        <w:rPr>
          <w:rFonts w:hint="eastAsia" w:ascii="仿宋_GB2312" w:cs="仿宋_GB2312"/>
        </w:rPr>
        <w:t>年</w:t>
      </w:r>
      <w:r>
        <w:rPr>
          <w:rFonts w:hint="eastAsia" w:ascii="仿宋_GB2312"/>
        </w:rPr>
        <w:t>1</w:t>
      </w:r>
      <w:r>
        <w:rPr>
          <w:rFonts w:hint="eastAsia" w:ascii="仿宋_GB2312" w:cs="仿宋_GB2312"/>
        </w:rPr>
        <w:t>月</w:t>
      </w:r>
      <w:r>
        <w:rPr>
          <w:rFonts w:hint="eastAsia" w:ascii="仿宋_GB2312"/>
        </w:rPr>
        <w:t>1</w:t>
      </w:r>
      <w:r>
        <w:rPr>
          <w:rFonts w:hint="eastAsia" w:cs="仿宋_GB2312"/>
        </w:rPr>
        <w:t>日起施行。</w:t>
      </w:r>
    </w:p>
    <w:p>
      <w:pPr>
        <w:pStyle w:val="8"/>
        <w:widowControl w:val="0"/>
        <w:topLinePunct/>
        <w:adjustRightInd w:val="0"/>
        <w:snapToGrid w:val="0"/>
        <w:spacing w:before="0" w:beforeAutospacing="0" w:after="0" w:afterAutospacing="0" w:line="592" w:lineRule="exact"/>
        <w:jc w:val="both"/>
        <w:rPr>
          <w:rFonts w:ascii="仿宋_GB2312" w:eastAsia="仿宋_GB2312" w:cs="Times New Roman"/>
          <w:color w:val="000000"/>
          <w:sz w:val="32"/>
          <w:szCs w:val="32"/>
        </w:rPr>
      </w:pPr>
    </w:p>
    <w:p>
      <w:pPr>
        <w:tabs>
          <w:tab w:val="left" w:pos="1233"/>
        </w:tabs>
        <w:topLinePunct/>
        <w:adjustRightInd w:val="0"/>
        <w:snapToGrid w:val="0"/>
        <w:spacing w:line="580" w:lineRule="exact"/>
        <w:ind w:firstLine="640" w:firstLineChars="200"/>
        <w:rPr>
          <w:color w:val="000000"/>
        </w:rPr>
      </w:pPr>
    </w:p>
    <w:p>
      <w:pPr>
        <w:pStyle w:val="2"/>
        <w:ind w:left="640" w:firstLine="640"/>
      </w:pPr>
    </w:p>
    <w:p>
      <w:pPr>
        <w:pStyle w:val="2"/>
        <w:ind w:left="640" w:firstLine="640"/>
      </w:pPr>
    </w:p>
    <w:p>
      <w:pPr>
        <w:pStyle w:val="2"/>
        <w:ind w:left="640" w:firstLine="640"/>
      </w:pPr>
    </w:p>
    <w:p>
      <w:pPr>
        <w:pStyle w:val="2"/>
        <w:ind w:left="640" w:firstLine="640"/>
      </w:pPr>
    </w:p>
    <w:p>
      <w:pPr>
        <w:pStyle w:val="2"/>
        <w:ind w:left="640" w:firstLine="640"/>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2E7A26"/>
    <w:multiLevelType w:val="multilevel"/>
    <w:tmpl w:val="312E7A26"/>
    <w:lvl w:ilvl="0" w:tentative="0">
      <w:start w:val="1"/>
      <w:numFmt w:val="japaneseCounting"/>
      <w:lvlText w:val="第%1章"/>
      <w:lvlJc w:val="left"/>
      <w:pPr>
        <w:ind w:left="1275" w:hanging="127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BF147B"/>
    <w:rsid w:val="1DBF147B"/>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楷体_GB2312"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fs20"/>
    <w:basedOn w:val="1"/>
    <w:qFormat/>
    <w:uiPriority w:val="99"/>
    <w:pPr>
      <w:widowControl/>
      <w:spacing w:before="100" w:beforeAutospacing="1" w:after="100" w:afterAutospacing="1"/>
      <w:jc w:val="left"/>
    </w:pPr>
    <w:rPr>
      <w:rFonts w:ascii="宋体" w:eastAsia="宋体" w:cs="宋体"/>
      <w:sz w:val="22"/>
      <w:szCs w:val="22"/>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2020-10-27T07:29:00Z</dcterms:created>
  <dc:creator>苏健 }</dc:creator>
  <cp:lastModifiedBy>苏健 }</cp:lastModifiedBy>
  <dcterms:modified xsi:type="dcterms:W3CDTF">2020-10-27T07:36:23Z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