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6" w:name="_GoBack"/>
      <w:bookmarkEnd w:id="6"/>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昆明市九乡风景名胜区保护条例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（2009年10月30日昆明市第十二届人民代表大会常务委员会第二十八次会议通过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2009年11月27日云南省第十一届人民代表大会常务委员会第十四次会议批准）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Times New Roman" w:hAnsi="Times New Roman" w:eastAsia="仿宋_GB2312" w:cs="Times New Roman"/>
          <w:sz w:val="32"/>
          <w:szCs w:val="32"/>
          <w:lang w:eastAsia="zh-CN"/>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第一章  总则</w:t>
      </w:r>
    </w:p>
    <w:bookmarkEnd w:id="0"/>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为了有效保护、科学开发和合理利用九乡风景名胜区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以下简称景区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的自然资源、人文资源，根据国务院《风景名胜区条例》、《云南省风景名胜区管理条例》和有关法律、法规，结合本市实际，制定本条例。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在景区内进行活动以及与景区保护工作相关的单位和个人，应当遵守本条例。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景区的保护与开发，应当遵循科学规划、统一管理、严格保护、永续利用的原则。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宜良县人民政府设立景区管理机构（以下简称管理机构），负责景区的保护、利用和统一管理工作。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宜良县规划、建设、国土资源、环保、公安、旅游、文化、工商、林业、水务等有关部门及景区内的乡（镇）人民政府应当按照各自职责，协同做好景区的保护、管理工作。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任何单位和个人都有保护景区资源和环境的义务，有权对损害景区资源和环境的行为进行制止、检举。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对保护景区成绩显著的单位和个人，宜良县人民政府应当给予表彰奖励。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z w:val="32"/>
          <w:szCs w:val="32"/>
        </w:rPr>
      </w:pPr>
      <w:bookmarkStart w:id="1" w:name="OLE_LINK2"/>
      <w:r>
        <w:rPr>
          <w:rFonts w:hint="eastAsia" w:ascii="黑体" w:hAnsi="黑体" w:eastAsia="黑体" w:cs="黑体"/>
          <w:sz w:val="32"/>
          <w:szCs w:val="32"/>
        </w:rPr>
        <w:t>第二章  规划</w:t>
      </w:r>
    </w:p>
    <w:bookmarkEnd w:id="1"/>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景区规划分为总体规划和详细规划。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景区规划应当依据《中华人民共和国城乡规划法》、国务院《风景名胜区条例》及相关法律、法规的规定编制审批。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景区内的乡（镇）规划和村庄规划应当符合景区规划，规划审批应当征得管理机构的同意。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经批准的景区规划、景区内的乡（镇）规划和村庄规划应当向社会公布。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任何单位和个人不得违反或者擅自改变景区规划，确需改变的，应当依法办理。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景区内的建筑物、构筑物和其他设施应当符合景区规划；不符合规划的应当依法整治，限期拆除。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实施景区规划，可以依法征收或者征用景区内集体所有的土地和单位、个人所有的房屋及其他不动产，并按国家有关规定给予补偿。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2" w:name="OLE_LINK3"/>
      <w:r>
        <w:rPr>
          <w:rFonts w:hint="default" w:ascii="黑体" w:hAnsi="黑体" w:eastAsia="黑体" w:cs="黑体"/>
          <w:sz w:val="32"/>
          <w:szCs w:val="32"/>
        </w:rPr>
        <w:t>第三章  保护</w:t>
      </w:r>
    </w:p>
    <w:bookmarkEnd w:id="2"/>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景区保护按照国务院批准的《九乡风景名胜区总体规划》确定的区域，划分为特级、一级、二级、三级保护区。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特级保护区：保护区范围内的已开发和尚未开发的地下溶洞及洞口、天窗周边区域；叠虹桥区域。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一级保护区：麦田河、三脚洞、阿路龙崖刻等区域。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二级保护区：马蹄河两侧汇水区域；上大洞、大沙坝、大枯坑等区域。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三级保护区：二级保护区外围的环境保护协调区域。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管理机构应当按照划定的各级保护区设立界桩（碑）。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景区内禁止下列行为：</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（一）开山、采石、开矿、开荒、修坟立碑等破坏景观、植被和地形地貌的活动；</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（二）改变水资源、水环境自然状态的活动；</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（三）修建储存爆炸性、易燃性、放射性、毒害性、腐蚀性物品的设施；</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（四）建设冶炼、电镀、化工、制革、洗矿等污染环境的项目；</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（五）超标排放大气污染物、水污染物等有害物质；</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（六）销售、购买、运输景区内的石峰、石芽、石笋、石钟乳、石柱等风景石</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（七）猎捕野生保护动物和采挖野生保护植物；</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（八）在河道、沟渠内毒鱼、炸鱼、电鱼；</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（九）在指定地点外倾倒土石、垃圾、废渣等废弃物；</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（十）破坏文物、景物；</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（十一）擅自砍伐、损毁林木；</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（十二）毁坏或者改变界桩（碑）；</w:t>
      </w:r>
    </w:p>
    <w:p>
      <w:pPr>
        <w:keepNext w:val="0"/>
        <w:keepLines w:val="0"/>
        <w:pageBreakBefore w:val="0"/>
        <w:widowControl w:val="0"/>
        <w:kinsoku/>
        <w:wordWrap w:val="0"/>
        <w:overflowPunct/>
        <w:topLinePunct/>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（十三）其他影响生态和景观的活动。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二级保护区内，除遵守本条例第十三条规定外，禁止烧荒、在非指定地点野炊等违规用火。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一级保护区内，除遵守本条例第十四条规定外，禁止建设宾馆、招待所、培训中心、疗养院等与保护风景名胜资源无关的建筑物、构筑物和其他设施；现有人居构筑物按照规划逐步拆迁。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特级保护区内，除遵守本条例第十五条规定外，禁止下列行为：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（一）设置、张贴商业广告；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（二）挖砂、取土；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（三）放牧;</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（四）燃放烟花爆竹；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（五）在非指定地点吸烟。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在一、二、三级保护区内禁止从事经营性挖砂、取土。因道路和设施维护，确需挖砂、取土的，应当经管理机构审查同意，报国土、环保、林业、水务等有关行政主管部门批准后，在指定地点挖取，并按照规定恢复植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景区内的居民因生活需要，在一、二、三级保护区内挖砂、取土自用的，应当在管理机构指定的地点挖取。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在景区洞穴内兴建旅游设施时，管理机构、施工单位应当采取严格的保护措施，避免损坏洞穴内钟乳石等景物。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在景区内进行下列活动，应当经管理机构审核同意后，依照有关法律、法规的规定办理审批手续：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（一）影视剧拍摄、科学考察；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（二）举办大型游乐等活动。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景区内经批准的建设项目，管理机构和建设单位在施工前应当记录环境原貌。建设单位在施工过程中应当采取有效措施，保护景物、植被、水体、地貌和环境。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建设单位应当在工程验收合格后六个月内向管理机构提交工程竣工档案。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景区内的建筑物、构筑物及其他设施，应当体现自然风貌，突出地方民族特色，并与周围景观和环境相协调。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在符合景区规划前提下，管理机构对景区内乡（镇）合理利用二、三级保护区资源的生产和经营活动给予支持、指导。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宜良县人民政府应当对景区有计划地投入保护资金。对重点保护项目，除国家和省、市有关部门的投入外，可以采取社会捐助等形式筹集资金。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 xml:space="preserve"> 昆明市人民政府和宜良县人民政府应当在景区内大力推广新型节能环保能源，并在政策和资金上给予支持。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3" w:name="OLE_LINK4"/>
      <w:r>
        <w:rPr>
          <w:rFonts w:hint="default" w:ascii="黑体" w:hAnsi="黑体" w:eastAsia="黑体" w:cs="黑体"/>
          <w:sz w:val="32"/>
          <w:szCs w:val="32"/>
        </w:rPr>
        <w:t>第四章  管理</w:t>
      </w:r>
    </w:p>
    <w:bookmarkEnd w:id="3"/>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管理机构主要职责：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（一）按照规划组织实施景区的保护与开发；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（二）依法行使行政审批和行政处罚权；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（三）协调有关部门完善景区的基础设施和公共服务设施；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（四）建立健全安全管理、监测、预警制度，制定自然灾害等突发事件的具体应急预案，对突发事件及时报告和处置；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（五）建立健全石景、文物古迹、古树名木的保护管理档案，并实施有效管理；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（六）科学合理确定景区、景点的游客容量和游览路线，制定疏导游客的具体方案，设置保护标志、路标路牌、公共服务、地质科普和安全警示等标志；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（七）配合各有关部门做好封山育林、护林防火和森林病虫害防治工作，并履行相应职责；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（八）负责景区游览区的服务设施、环境卫生、饮食安全和服务质量的监督管理、检查；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（九）建立生活垃圾收集、运输、处置制度，建设生活污水处理设施，实现达标排放；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（十）加强景区游览区的管理，确保游客的人身安全和国家、集体、个人的财产安全；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（十一）县级以上人民政府赋予的其他职责。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进入景区游览区的交通工具，应当按照规定的路线限速行驶，并在指定的地点停放。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在景区游览区进行经营活动，应当在管理机构指定的地点经营，禁止游动叫卖和强行兜售。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进入景区游览区的人员应当按照规定购买门票。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利用景区内的资源进行经营活动的单位和个人，应当向管理机构缴纳风景名胜资源有偿使用费。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景区的门票收入、风景名胜资源有偿使用费，主要用于景区资源的保护、管理以及基础设施建设。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宜良县人民政府应当确定景区保护管理目标，并监督、检查本条例的实施情况，向昆明市人民政府报告。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4" w:name="OLE_LINK5"/>
      <w:r>
        <w:rPr>
          <w:rFonts w:hint="default" w:ascii="黑体" w:hAnsi="黑体" w:eastAsia="黑体" w:cs="黑体"/>
          <w:sz w:val="32"/>
          <w:szCs w:val="32"/>
        </w:rPr>
        <w:t>第五章  法律责任</w:t>
      </w:r>
    </w:p>
    <w:bookmarkEnd w:id="4"/>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违反本条例规定，有下列行为之一的，由管理机构予以处罚：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违反第十三条第六项规定的，没收所销售、购买、运输的风景石和违法所得；销售者和购买者恶意串通的，分别处以1万元以上5万元以下罚款，情节特别严重的，分别处以5万元以上15万元以下罚款。明知是本条例禁止销售、购买的风景石而运输的，对运输者处以5000元以上2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（二）违反第十三条第十二项、第十六条第三项规定的，责令改正，处以100元以上500元以下罚款；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（三）违反第十四条规定的，责令停止违法行为，限期恢复原状；逾期不改正或者拒不恢复原状的，对单位处以5000元以上2万元以下罚款，对个人处以1000元以上5000元以下罚款；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（四）违反第十六条第二项、第十七条第二款规定的，责令停止违法行为，限期恢复原状，并按照每立方米处以100元罚款，不足1立方米的，按照1立方米处罚；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（五）违反第十六条第五项规定的，处以50元罚款；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64" w:firstLineChars="200"/>
        <w:jc w:val="both"/>
        <w:textAlignment w:val="auto"/>
        <w:outlineLvl w:val="9"/>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（六）违反第二十条第一款规定的，责令限期改正、恢复原状；逾期不改正的，对建设单位处以1万元以上5万元以下罚款；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（七）违反第二十六条、第二十七条规定的，责令改正，处以50元以上200元以下罚款；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（八）违反第二十八条第一款规定的，责令改正，处以应购门票价款一倍以上三倍以下罚款。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规定的其他违法行为，由管理机构依照国务院《风景名胜区条例》或者其他有关法律、法规的规定予以处罚；管理机构无权处理的，应当及时移送或者通报有权处理的行政主管部门，有权处理的行政主管部门应当依法及时予以处理，并将处理情况通报管理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管理机构及其工作人员违反本条例规定，有下列行为之一的，对负有责任的主管人员和其他直接责任人员依法给予处分；构成犯罪的，依法追究刑事责任：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（一）未按规定对景区资源进行调查登记，建立档案，设置标志的；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（二）管理不善造成景区资源破坏、环境污染的；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（三）串通经营单位或者个人，敲诈勒索游客的；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（四）发现违反本条例的行为不依法处理的；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（五）管理制度不健全，发生安全责任事故的；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（六）其他滥用职权、玩忽职守的。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z w:val="32"/>
          <w:szCs w:val="32"/>
        </w:rPr>
      </w:pPr>
      <w:bookmarkStart w:id="5" w:name="OLE_LINK6"/>
      <w:r>
        <w:rPr>
          <w:rFonts w:hint="eastAsia" w:ascii="黑体" w:hAnsi="黑体" w:eastAsia="黑体" w:cs="黑体"/>
          <w:sz w:val="32"/>
          <w:szCs w:val="32"/>
        </w:rPr>
        <w:t>第六章  附则</w:t>
      </w:r>
    </w:p>
    <w:bookmarkEnd w:id="5"/>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本条例自2010年1月1日起施行。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9B"/>
    <w:rsid w:val="001040B1"/>
    <w:rsid w:val="00574B5E"/>
    <w:rsid w:val="008E29CD"/>
    <w:rsid w:val="00BE6E59"/>
    <w:rsid w:val="00C1089B"/>
    <w:rsid w:val="077E0A8F"/>
    <w:rsid w:val="095A5B22"/>
    <w:rsid w:val="0F2175DA"/>
    <w:rsid w:val="135C278E"/>
    <w:rsid w:val="273B64B8"/>
    <w:rsid w:val="386A1860"/>
    <w:rsid w:val="3AC749DA"/>
    <w:rsid w:val="3CBC4666"/>
    <w:rsid w:val="4E4F5EBC"/>
    <w:rsid w:val="518F3EC5"/>
    <w:rsid w:val="51DC3E8F"/>
    <w:rsid w:val="51F613B7"/>
    <w:rsid w:val="5392465B"/>
    <w:rsid w:val="53C2638A"/>
    <w:rsid w:val="60E958BF"/>
    <w:rsid w:val="66855F83"/>
    <w:rsid w:val="66CC0100"/>
    <w:rsid w:val="6C1F7F3D"/>
    <w:rsid w:val="704D0E9A"/>
    <w:rsid w:val="73305C74"/>
    <w:rsid w:val="7FB108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570</Words>
  <Characters>3255</Characters>
  <Lines>27</Lines>
  <Paragraphs>7</Paragraphs>
  <ScaleCrop>false</ScaleCrop>
  <LinksUpToDate>false</LinksUpToDate>
  <CharactersWithSpaces>3818</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2016-09-01T05:06:00Z</dcterms:created>
  <dc:creator>Lenovo User</dc:creator>
  <cp:lastModifiedBy>Administrator</cp:lastModifiedBy>
  <dcterms:modified xsi:type="dcterms:W3CDTF">2017-01-09T11:54:42Z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