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highlight w:val="none"/>
        </w:rPr>
      </w:pPr>
    </w:p>
    <w:p>
      <w:pPr>
        <w:pStyle w:val="2"/>
        <w:ind w:left="0" w:leftChars="0" w:firstLine="0" w:firstLineChars="0"/>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sz w:val="44"/>
          <w:szCs w:val="44"/>
          <w:highlight w:val="none"/>
        </w:rPr>
      </w:pPr>
      <w:r>
        <w:rPr>
          <w:rFonts w:hint="eastAsia" w:asciiTheme="minorEastAsia" w:hAnsiTheme="minorEastAsia" w:eastAsiaTheme="minorEastAsia" w:cstheme="minorEastAsia"/>
          <w:sz w:val="44"/>
          <w:szCs w:val="44"/>
          <w:highlight w:val="none"/>
        </w:rPr>
        <w:t>晋中市海绵城市建设管理条例</w:t>
      </w:r>
    </w:p>
    <w:p>
      <w:pPr>
        <w:pStyle w:val="14"/>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val="0"/>
          <w:bCs/>
          <w:sz w:val="32"/>
          <w:szCs w:val="32"/>
        </w:rPr>
      </w:pPr>
    </w:p>
    <w:p>
      <w:pPr>
        <w:pStyle w:val="14"/>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b w:val="0"/>
          <w:bCs/>
          <w:spacing w:val="6"/>
          <w:sz w:val="32"/>
          <w:szCs w:val="32"/>
          <w:lang w:val="en-US" w:eastAsia="zh-CN"/>
        </w:rPr>
      </w:pPr>
      <w:r>
        <w:rPr>
          <w:rFonts w:hint="default" w:ascii="Times New Roman" w:hAnsi="Times New Roman" w:eastAsia="楷体_GB2312" w:cs="Times New Roman"/>
          <w:b w:val="0"/>
          <w:bCs/>
          <w:sz w:val="32"/>
          <w:szCs w:val="32"/>
        </w:rPr>
        <w:t>（</w:t>
      </w:r>
      <w:r>
        <w:rPr>
          <w:rFonts w:hint="default" w:ascii="Times New Roman" w:hAnsi="Times New Roman" w:eastAsia="楷体_GB2312" w:cs="Times New Roman"/>
          <w:b w:val="0"/>
          <w:bCs/>
          <w:spacing w:val="6"/>
          <w:sz w:val="32"/>
          <w:szCs w:val="32"/>
          <w:lang w:val="en-US" w:eastAsia="zh-CN"/>
        </w:rPr>
        <w:t>2023</w:t>
      </w:r>
      <w:r>
        <w:rPr>
          <w:rFonts w:hint="default" w:ascii="Times New Roman" w:hAnsi="Times New Roman" w:eastAsia="楷体_GB2312" w:cs="Times New Roman"/>
          <w:b w:val="0"/>
          <w:bCs/>
          <w:spacing w:val="6"/>
          <w:sz w:val="32"/>
          <w:szCs w:val="32"/>
        </w:rPr>
        <w:t>年</w:t>
      </w:r>
      <w:r>
        <w:rPr>
          <w:rFonts w:hint="default" w:ascii="Times New Roman" w:hAnsi="Times New Roman" w:eastAsia="楷体_GB2312" w:cs="Times New Roman"/>
          <w:b w:val="0"/>
          <w:bCs/>
          <w:spacing w:val="6"/>
          <w:sz w:val="32"/>
          <w:szCs w:val="32"/>
          <w:lang w:val="en-US" w:eastAsia="zh-CN"/>
        </w:rPr>
        <w:t>4</w:t>
      </w:r>
      <w:r>
        <w:rPr>
          <w:rFonts w:hint="default" w:ascii="Times New Roman" w:hAnsi="Times New Roman" w:eastAsia="楷体_GB2312" w:cs="Times New Roman"/>
          <w:b w:val="0"/>
          <w:bCs/>
          <w:spacing w:val="6"/>
          <w:sz w:val="32"/>
          <w:szCs w:val="32"/>
        </w:rPr>
        <w:t>月</w:t>
      </w:r>
      <w:r>
        <w:rPr>
          <w:rFonts w:hint="default" w:ascii="Times New Roman" w:hAnsi="Times New Roman" w:eastAsia="楷体_GB2312" w:cs="Times New Roman"/>
          <w:b w:val="0"/>
          <w:bCs/>
          <w:spacing w:val="6"/>
          <w:sz w:val="32"/>
          <w:szCs w:val="32"/>
          <w:lang w:val="en-US" w:eastAsia="zh-CN"/>
        </w:rPr>
        <w:t>20日</w:t>
      </w:r>
      <w:r>
        <w:rPr>
          <w:rFonts w:hint="default" w:ascii="Times New Roman" w:hAnsi="Times New Roman" w:eastAsia="楷体_GB2312" w:cs="Times New Roman"/>
          <w:b w:val="0"/>
          <w:bCs/>
          <w:spacing w:val="6"/>
          <w:sz w:val="32"/>
          <w:szCs w:val="32"/>
        </w:rPr>
        <w:t>晋中市第</w:t>
      </w:r>
      <w:r>
        <w:rPr>
          <w:rFonts w:hint="default" w:ascii="Times New Roman" w:hAnsi="Times New Roman" w:eastAsia="楷体_GB2312" w:cs="Times New Roman"/>
          <w:b w:val="0"/>
          <w:bCs/>
          <w:spacing w:val="6"/>
          <w:sz w:val="32"/>
          <w:szCs w:val="32"/>
          <w:lang w:eastAsia="zh-CN"/>
        </w:rPr>
        <w:t>五</w:t>
      </w:r>
      <w:r>
        <w:rPr>
          <w:rFonts w:hint="default" w:ascii="Times New Roman" w:hAnsi="Times New Roman" w:eastAsia="楷体_GB2312" w:cs="Times New Roman"/>
          <w:b w:val="0"/>
          <w:bCs/>
          <w:spacing w:val="6"/>
          <w:sz w:val="32"/>
          <w:szCs w:val="32"/>
        </w:rPr>
        <w:t>届人民代表大会常务委员会第</w:t>
      </w:r>
      <w:r>
        <w:rPr>
          <w:rFonts w:hint="default" w:ascii="Times New Roman" w:hAnsi="Times New Roman" w:eastAsia="楷体_GB2312" w:cs="Times New Roman"/>
          <w:b w:val="0"/>
          <w:bCs/>
          <w:spacing w:val="6"/>
          <w:sz w:val="32"/>
          <w:szCs w:val="32"/>
          <w:lang w:eastAsia="zh-CN"/>
        </w:rPr>
        <w:t>八</w:t>
      </w:r>
      <w:r>
        <w:rPr>
          <w:rFonts w:hint="default" w:ascii="Times New Roman" w:hAnsi="Times New Roman" w:eastAsia="楷体_GB2312" w:cs="Times New Roman"/>
          <w:b w:val="0"/>
          <w:bCs/>
          <w:spacing w:val="6"/>
          <w:sz w:val="32"/>
          <w:szCs w:val="32"/>
        </w:rPr>
        <w:t>次会议通过</w:t>
      </w:r>
      <w:r>
        <w:rPr>
          <w:rFonts w:hint="default" w:ascii="Times New Roman" w:hAnsi="Times New Roman" w:eastAsia="楷体_GB2312" w:cs="Times New Roman"/>
          <w:b w:val="0"/>
          <w:bCs/>
          <w:spacing w:val="6"/>
          <w:sz w:val="32"/>
          <w:szCs w:val="32"/>
          <w:lang w:val="en-US" w:eastAsia="zh-CN"/>
        </w:rPr>
        <w:t>　</w:t>
      </w:r>
      <w:r>
        <w:rPr>
          <w:rFonts w:hint="default" w:ascii="Times New Roman" w:hAnsi="Times New Roman" w:eastAsia="楷体_GB2312" w:cs="Times New Roman"/>
          <w:b w:val="0"/>
          <w:bCs/>
          <w:spacing w:val="6"/>
          <w:sz w:val="32"/>
          <w:szCs w:val="32"/>
        </w:rPr>
        <w:t>202</w:t>
      </w:r>
      <w:r>
        <w:rPr>
          <w:rFonts w:hint="default" w:ascii="Times New Roman" w:hAnsi="Times New Roman" w:eastAsia="楷体_GB2312" w:cs="Times New Roman"/>
          <w:b w:val="0"/>
          <w:bCs/>
          <w:spacing w:val="6"/>
          <w:sz w:val="32"/>
          <w:szCs w:val="32"/>
          <w:lang w:val="en-US" w:eastAsia="zh-CN"/>
        </w:rPr>
        <w:t>3</w:t>
      </w:r>
      <w:r>
        <w:rPr>
          <w:rFonts w:hint="default" w:ascii="Times New Roman" w:hAnsi="Times New Roman" w:eastAsia="楷体_GB2312" w:cs="Times New Roman"/>
          <w:b w:val="0"/>
          <w:bCs/>
          <w:spacing w:val="6"/>
          <w:sz w:val="32"/>
          <w:szCs w:val="32"/>
        </w:rPr>
        <w:t>年</w:t>
      </w:r>
      <w:r>
        <w:rPr>
          <w:rFonts w:hint="default" w:ascii="Times New Roman" w:hAnsi="Times New Roman" w:eastAsia="楷体_GB2312" w:cs="Times New Roman"/>
          <w:b w:val="0"/>
          <w:bCs/>
          <w:spacing w:val="6"/>
          <w:sz w:val="32"/>
          <w:szCs w:val="32"/>
          <w:lang w:val="en-US" w:eastAsia="zh-CN"/>
        </w:rPr>
        <w:t>5</w:t>
      </w:r>
      <w:r>
        <w:rPr>
          <w:rFonts w:hint="default" w:ascii="Times New Roman" w:hAnsi="Times New Roman" w:eastAsia="楷体_GB2312" w:cs="Times New Roman"/>
          <w:b w:val="0"/>
          <w:bCs/>
          <w:spacing w:val="6"/>
          <w:sz w:val="32"/>
          <w:szCs w:val="32"/>
        </w:rPr>
        <w:t>月</w:t>
      </w:r>
      <w:r>
        <w:rPr>
          <w:rFonts w:hint="default" w:ascii="Times New Roman" w:hAnsi="Times New Roman" w:eastAsia="楷体_GB2312" w:cs="Times New Roman"/>
          <w:b w:val="0"/>
          <w:bCs/>
          <w:spacing w:val="6"/>
          <w:sz w:val="32"/>
          <w:szCs w:val="32"/>
          <w:lang w:val="en-US" w:eastAsia="zh-CN"/>
        </w:rPr>
        <w:t>26</w:t>
      </w:r>
      <w:r>
        <w:rPr>
          <w:rFonts w:hint="default" w:ascii="Times New Roman" w:hAnsi="Times New Roman" w:eastAsia="楷体_GB2312" w:cs="Times New Roman"/>
          <w:b w:val="0"/>
          <w:bCs/>
          <w:spacing w:val="6"/>
          <w:sz w:val="32"/>
          <w:szCs w:val="32"/>
        </w:rPr>
        <w:t>日山西省第十</w:t>
      </w:r>
      <w:r>
        <w:rPr>
          <w:rFonts w:hint="default" w:ascii="Times New Roman" w:hAnsi="Times New Roman" w:eastAsia="楷体_GB2312" w:cs="Times New Roman"/>
          <w:b w:val="0"/>
          <w:bCs/>
          <w:spacing w:val="6"/>
          <w:sz w:val="32"/>
          <w:szCs w:val="32"/>
          <w:lang w:eastAsia="zh-CN"/>
        </w:rPr>
        <w:t>四</w:t>
      </w:r>
      <w:r>
        <w:rPr>
          <w:rFonts w:hint="default" w:ascii="Times New Roman" w:hAnsi="Times New Roman" w:eastAsia="楷体_GB2312" w:cs="Times New Roman"/>
          <w:b w:val="0"/>
          <w:bCs/>
          <w:spacing w:val="6"/>
          <w:sz w:val="32"/>
          <w:szCs w:val="32"/>
        </w:rPr>
        <w:t>届人民代表大会常务委员会第</w:t>
      </w:r>
      <w:r>
        <w:rPr>
          <w:rFonts w:hint="default" w:ascii="Times New Roman" w:hAnsi="Times New Roman" w:eastAsia="楷体_GB2312" w:cs="Times New Roman"/>
          <w:b w:val="0"/>
          <w:bCs/>
          <w:spacing w:val="6"/>
          <w:sz w:val="32"/>
          <w:szCs w:val="32"/>
          <w:lang w:eastAsia="zh-CN"/>
        </w:rPr>
        <w:t>三</w:t>
      </w:r>
      <w:r>
        <w:rPr>
          <w:rFonts w:hint="default" w:ascii="Times New Roman" w:hAnsi="Times New Roman" w:eastAsia="楷体_GB2312" w:cs="Times New Roman"/>
          <w:b w:val="0"/>
          <w:bCs/>
          <w:spacing w:val="6"/>
          <w:sz w:val="32"/>
          <w:szCs w:val="32"/>
        </w:rPr>
        <w:t>次</w:t>
      </w:r>
      <w:r>
        <w:rPr>
          <w:rFonts w:hint="default" w:ascii="Times New Roman" w:hAnsi="Times New Roman" w:eastAsia="楷体_GB2312" w:cs="Times New Roman"/>
          <w:b w:val="0"/>
          <w:bCs/>
          <w:spacing w:val="6"/>
          <w:sz w:val="32"/>
          <w:szCs w:val="32"/>
          <w:lang w:val="en-US" w:eastAsia="zh-CN"/>
        </w:rPr>
        <w:t>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宋体" w:cs="宋体"/>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第一</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为</w:t>
      </w:r>
      <w:r>
        <w:rPr>
          <w:rFonts w:hint="eastAsia" w:ascii="仿宋_GB2312" w:hAnsi="仿宋_GB2312" w:eastAsia="仿宋_GB2312" w:cs="仿宋_GB2312"/>
          <w:sz w:val="32"/>
          <w:szCs w:val="32"/>
          <w:highlight w:val="none"/>
          <w:lang w:val="en-US" w:eastAsia="zh-CN"/>
        </w:rPr>
        <w:t>了加快推进海绵城市建设，规范海绵城市建设管理，保护和改善城市生态环境，根据有关法律法规，结合本市实际，制定本条例</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第二条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本市</w:t>
      </w:r>
      <w:r>
        <w:rPr>
          <w:rFonts w:hint="eastAsia" w:ascii="仿宋_GB2312" w:hAnsi="仿宋_GB2312" w:eastAsia="仿宋_GB2312" w:cs="仿宋_GB2312"/>
          <w:sz w:val="32"/>
          <w:szCs w:val="32"/>
          <w:highlight w:val="none"/>
          <w:lang w:eastAsia="zh-CN"/>
        </w:rPr>
        <w:t>行政区域</w:t>
      </w:r>
      <w:r>
        <w:rPr>
          <w:rFonts w:hint="eastAsia" w:ascii="仿宋_GB2312" w:hAnsi="仿宋_GB2312" w:eastAsia="仿宋_GB2312" w:cs="仿宋_GB2312"/>
          <w:strike w:val="0"/>
          <w:dstrike w:val="0"/>
          <w:sz w:val="32"/>
          <w:szCs w:val="32"/>
          <w:highlight w:val="none"/>
        </w:rPr>
        <w:t>内</w:t>
      </w:r>
      <w:r>
        <w:rPr>
          <w:rFonts w:hint="eastAsia" w:ascii="仿宋_GB2312" w:hAnsi="仿宋_GB2312" w:eastAsia="仿宋_GB2312" w:cs="仿宋_GB2312"/>
          <w:sz w:val="32"/>
          <w:szCs w:val="32"/>
          <w:highlight w:val="none"/>
        </w:rPr>
        <w:t>海绵城市规划、建设、运行维护及其监督管理等活动，适用本条例。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default"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rPr>
        <w:t>本条例所称海绵城市，是指通过加强城市规划建设管理，保护和利用城市生态空间，发挥建筑、道路、绿地、水系等生态系统对雨水的吸纳、蓄渗和缓释作用，有效控制雨水径流，提升城市蓄水、渗水和涵养水的能力，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第三条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海绵城市建设管理应当遵循政府主导、</w:t>
      </w:r>
      <w:r>
        <w:rPr>
          <w:rFonts w:hint="eastAsia" w:ascii="仿宋_GB2312" w:hAnsi="仿宋_GB2312" w:eastAsia="仿宋_GB2312" w:cs="仿宋_GB2312"/>
          <w:sz w:val="32"/>
          <w:szCs w:val="32"/>
          <w:highlight w:val="none"/>
          <w:lang w:eastAsia="zh-CN"/>
        </w:rPr>
        <w:t>社会参与</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生态为本、自然循环、</w:t>
      </w:r>
      <w:r>
        <w:rPr>
          <w:rFonts w:hint="eastAsia" w:ascii="仿宋_GB2312" w:hAnsi="仿宋_GB2312" w:eastAsia="仿宋_GB2312" w:cs="仿宋_GB2312"/>
          <w:sz w:val="32"/>
          <w:szCs w:val="32"/>
          <w:highlight w:val="none"/>
        </w:rPr>
        <w:t>规划引领、因地制宜</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第四条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市、县（市、区）人民政府应当将海绵</w:t>
      </w:r>
      <w:r>
        <w:rPr>
          <w:rFonts w:ascii="仿宋_GB2312" w:hAnsi="仿宋_GB2312" w:eastAsia="仿宋_GB2312" w:cs="仿宋_GB2312"/>
          <w:sz w:val="32"/>
          <w:szCs w:val="32"/>
          <w:highlight w:val="none"/>
        </w:rPr>
        <w:t>城市建设工作</w:t>
      </w:r>
      <w:r>
        <w:rPr>
          <w:rFonts w:hint="eastAsia" w:ascii="仿宋_GB2312" w:hAnsi="仿宋_GB2312" w:eastAsia="仿宋_GB2312" w:cs="仿宋_GB2312"/>
          <w:sz w:val="32"/>
          <w:szCs w:val="32"/>
          <w:highlight w:val="none"/>
        </w:rPr>
        <w:t>纳入国民经济和社会发展</w:t>
      </w:r>
      <w:r>
        <w:rPr>
          <w:rFonts w:ascii="仿宋_GB2312" w:hAnsi="仿宋_GB2312" w:eastAsia="仿宋_GB2312" w:cs="仿宋_GB2312"/>
          <w:sz w:val="32"/>
          <w:szCs w:val="32"/>
          <w:highlight w:val="none"/>
        </w:rPr>
        <w:t>规划</w:t>
      </w:r>
      <w:r>
        <w:rPr>
          <w:rFonts w:hint="eastAsia" w:ascii="仿宋_GB2312" w:hAnsi="仿宋_GB2312" w:eastAsia="仿宋_GB2312" w:cs="仿宋_GB2312"/>
          <w:sz w:val="32"/>
          <w:szCs w:val="32"/>
          <w:highlight w:val="none"/>
        </w:rPr>
        <w:t>，统筹推进海绵城市建设管理工作，协调解决海绵城市建设管理工作中的重大问题</w:t>
      </w:r>
      <w:r>
        <w:rPr>
          <w:rFonts w:hint="eastAsia" w:ascii="仿宋_GB2312" w:hAnsi="仿宋_GB2312" w:eastAsia="仿宋_GB2312" w:cs="仿宋_GB2312"/>
          <w:sz w:val="32"/>
          <w:szCs w:val="32"/>
          <w:highlight w:val="none"/>
          <w:lang w:eastAsia="zh-CN"/>
        </w:rPr>
        <w:t>，并</w:t>
      </w:r>
      <w:r>
        <w:rPr>
          <w:rFonts w:hint="eastAsia" w:ascii="仿宋_GB2312" w:hAnsi="仿宋_GB2312" w:eastAsia="仿宋_GB2312" w:cs="仿宋_GB2312"/>
          <w:sz w:val="32"/>
          <w:szCs w:val="32"/>
          <w:highlight w:val="none"/>
        </w:rPr>
        <w:t>将海绵城市建设管理工作纳入考核内容。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第五</w:t>
      </w:r>
      <w:bookmarkStart w:id="0" w:name="_Hlk113028814"/>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市、县（市、区）人民政府海绵城市建设管理主管部门</w:t>
      </w:r>
      <w:bookmarkEnd w:id="0"/>
      <w:r>
        <w:rPr>
          <w:rFonts w:hint="eastAsia" w:ascii="仿宋_GB2312" w:hAnsi="仿宋_GB2312" w:eastAsia="仿宋_GB2312" w:cs="仿宋_GB2312"/>
          <w:sz w:val="32"/>
          <w:szCs w:val="32"/>
          <w:highlight w:val="none"/>
        </w:rPr>
        <w:t>负责海绵城市建设管理的综合</w:t>
      </w:r>
      <w:r>
        <w:rPr>
          <w:rFonts w:ascii="仿宋_GB2312" w:hAnsi="仿宋_GB2312" w:eastAsia="仿宋_GB2312" w:cs="仿宋_GB2312"/>
          <w:sz w:val="32"/>
          <w:szCs w:val="32"/>
          <w:highlight w:val="none"/>
        </w:rPr>
        <w:t>协调、技术指导、监督</w:t>
      </w:r>
      <w:r>
        <w:rPr>
          <w:rFonts w:hint="eastAsia" w:ascii="仿宋_GB2312" w:hAnsi="仿宋_GB2312" w:eastAsia="仿宋_GB2312" w:cs="仿宋_GB2312"/>
          <w:sz w:val="32"/>
          <w:szCs w:val="32"/>
          <w:highlight w:val="none"/>
        </w:rPr>
        <w:t>检查、</w:t>
      </w:r>
      <w:r>
        <w:rPr>
          <w:rFonts w:ascii="仿宋_GB2312" w:hAnsi="仿宋_GB2312" w:eastAsia="仿宋_GB2312" w:cs="仿宋_GB2312"/>
          <w:sz w:val="32"/>
          <w:szCs w:val="32"/>
          <w:highlight w:val="none"/>
        </w:rPr>
        <w:t>评价考核</w:t>
      </w:r>
      <w:r>
        <w:rPr>
          <w:rFonts w:hint="eastAsia" w:ascii="仿宋_GB2312" w:hAnsi="仿宋_GB2312" w:eastAsia="仿宋_GB2312" w:cs="仿宋_GB2312"/>
          <w:sz w:val="32"/>
          <w:szCs w:val="32"/>
          <w:highlight w:val="none"/>
        </w:rPr>
        <w:t>等工作。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市、县（市、区）人民政府规划和自然资源主管部门负责海绵城市建设的土地供应、规划管理等工作。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市、县（市、区）人民政府行政审批</w:t>
      </w:r>
      <w:r>
        <w:rPr>
          <w:rFonts w:ascii="仿宋_GB2312" w:hAnsi="仿宋_GB2312" w:eastAsia="仿宋_GB2312" w:cs="仿宋_GB2312"/>
          <w:sz w:val="32"/>
          <w:szCs w:val="32"/>
          <w:highlight w:val="none"/>
        </w:rPr>
        <w:t>主管部门负责</w:t>
      </w:r>
      <w:r>
        <w:rPr>
          <w:rFonts w:hint="eastAsia" w:ascii="仿宋_GB2312" w:hAnsi="仿宋_GB2312" w:eastAsia="仿宋_GB2312" w:cs="仿宋_GB2312"/>
          <w:sz w:val="32"/>
          <w:szCs w:val="32"/>
          <w:highlight w:val="none"/>
        </w:rPr>
        <w:t>海绵城市建设</w:t>
      </w:r>
      <w:r>
        <w:rPr>
          <w:rFonts w:hint="eastAsia" w:ascii="仿宋_GB2312" w:hAnsi="仿宋_GB2312" w:eastAsia="仿宋_GB2312" w:cs="仿宋_GB2312"/>
          <w:strike w:val="0"/>
          <w:dstrike w:val="0"/>
          <w:sz w:val="32"/>
          <w:szCs w:val="32"/>
          <w:highlight w:val="none"/>
          <w:lang w:eastAsia="zh-CN"/>
        </w:rPr>
        <w:t>的</w:t>
      </w:r>
      <w:r>
        <w:rPr>
          <w:rFonts w:hint="eastAsia" w:ascii="仿宋_GB2312" w:hAnsi="仿宋_GB2312" w:eastAsia="仿宋_GB2312" w:cs="仿宋_GB2312"/>
          <w:sz w:val="32"/>
          <w:szCs w:val="32"/>
          <w:highlight w:val="none"/>
        </w:rPr>
        <w:t>审批</w:t>
      </w:r>
      <w:r>
        <w:rPr>
          <w:rFonts w:hint="eastAsia" w:ascii="仿宋_GB2312" w:hAnsi="仿宋_GB2312" w:eastAsia="仿宋_GB2312" w:cs="仿宋_GB2312"/>
          <w:sz w:val="32"/>
          <w:szCs w:val="32"/>
          <w:highlight w:val="none"/>
          <w:lang w:eastAsia="zh-CN"/>
        </w:rPr>
        <w:t>工作</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建立信息共享机制。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市、县（市、区）人民政府住房和城乡建设</w:t>
      </w:r>
      <w:r>
        <w:rPr>
          <w:rFonts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rPr>
        <w:t>水行政、生态环境、交通运输</w:t>
      </w:r>
      <w:r>
        <w:rPr>
          <w:rFonts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rPr>
        <w:t>发展和改革、财政、气象等主管部门在各自职责范围内负责海绵城市建设管理相关工作。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第六条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市、县（市、区）人民政府应当</w:t>
      </w:r>
      <w:r>
        <w:rPr>
          <w:rFonts w:hint="eastAsia" w:ascii="仿宋_GB2312" w:hAnsi="仿宋_GB2312" w:eastAsia="仿宋_GB2312" w:cs="仿宋_GB2312"/>
          <w:sz w:val="32"/>
          <w:szCs w:val="32"/>
          <w:highlight w:val="none"/>
          <w:lang w:eastAsia="zh-CN"/>
        </w:rPr>
        <w:t>统筹安排</w:t>
      </w:r>
      <w:r>
        <w:rPr>
          <w:rFonts w:hint="eastAsia" w:ascii="仿宋_GB2312" w:hAnsi="仿宋_GB2312" w:eastAsia="仿宋_GB2312" w:cs="仿宋_GB2312"/>
          <w:sz w:val="32"/>
          <w:szCs w:val="32"/>
          <w:highlight w:val="none"/>
        </w:rPr>
        <w:t>海绵城市建设</w:t>
      </w:r>
      <w:r>
        <w:rPr>
          <w:rFonts w:hint="eastAsia" w:ascii="仿宋_GB2312" w:hAnsi="仿宋_GB2312" w:eastAsia="仿宋_GB2312" w:cs="仿宋_GB2312"/>
          <w:sz w:val="32"/>
          <w:szCs w:val="32"/>
          <w:highlight w:val="none"/>
          <w:lang w:eastAsia="zh-CN"/>
        </w:rPr>
        <w:t>以及运行维护资金，所需资金</w:t>
      </w:r>
      <w:r>
        <w:rPr>
          <w:rFonts w:hint="eastAsia" w:ascii="仿宋_GB2312" w:hAnsi="仿宋_GB2312" w:eastAsia="仿宋_GB2312" w:cs="仿宋_GB2312"/>
          <w:sz w:val="32"/>
          <w:szCs w:val="32"/>
          <w:highlight w:val="none"/>
        </w:rPr>
        <w:t>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鼓励和引导社会资本参与海绵城市建设和运行维护。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sz w:val="32"/>
          <w:szCs w:val="32"/>
          <w:highlight w:val="none"/>
          <w:shd w:val="clear" w:color="auto" w:fill="FFFFFF"/>
        </w:rPr>
      </w:pPr>
      <w:r>
        <w:rPr>
          <w:rFonts w:hint="eastAsia" w:ascii="黑体" w:hAnsi="黑体" w:eastAsia="黑体" w:cs="黑体"/>
          <w:b w:val="0"/>
          <w:bCs w:val="0"/>
          <w:sz w:val="32"/>
          <w:szCs w:val="32"/>
          <w:highlight w:val="none"/>
        </w:rPr>
        <w:t>第</w:t>
      </w:r>
      <w:r>
        <w:rPr>
          <w:rFonts w:hint="eastAsia" w:ascii="黑体" w:hAnsi="黑体" w:eastAsia="黑体" w:cs="黑体"/>
          <w:b w:val="0"/>
          <w:bCs w:val="0"/>
          <w:sz w:val="32"/>
          <w:szCs w:val="32"/>
          <w:highlight w:val="none"/>
          <w:lang w:eastAsia="zh-CN"/>
        </w:rPr>
        <w:t>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b w:val="0"/>
          <w:bCs w:val="0"/>
          <w:sz w:val="32"/>
          <w:szCs w:val="32"/>
          <w:highlight w:val="none"/>
          <w:shd w:val="clear" w:color="auto" w:fill="FFFFFF"/>
        </w:rPr>
        <w:t>市人民政府应当组织市城市管理、住房和城乡建设、规划和自然资源、水行政等有关部门依法</w:t>
      </w:r>
      <w:r>
        <w:rPr>
          <w:rFonts w:hint="eastAsia" w:ascii="仿宋_GB2312" w:hAnsi="仿宋_GB2312" w:eastAsia="仿宋_GB2312" w:cs="仿宋_GB2312"/>
          <w:b w:val="0"/>
          <w:bCs w:val="0"/>
          <w:sz w:val="32"/>
          <w:szCs w:val="32"/>
          <w:highlight w:val="none"/>
          <w:shd w:val="clear" w:color="auto" w:fill="FFFFFF"/>
          <w:lang w:eastAsia="zh-CN"/>
        </w:rPr>
        <w:t>依规</w:t>
      </w:r>
      <w:r>
        <w:rPr>
          <w:rFonts w:hint="eastAsia" w:ascii="仿宋_GB2312" w:hAnsi="仿宋_GB2312" w:eastAsia="仿宋_GB2312" w:cs="仿宋_GB2312"/>
          <w:b w:val="0"/>
          <w:bCs w:val="0"/>
          <w:sz w:val="32"/>
          <w:szCs w:val="32"/>
          <w:highlight w:val="none"/>
          <w:shd w:val="clear" w:color="auto" w:fill="FFFFFF"/>
        </w:rPr>
        <w:t>制定海绵城市建设标准规范和技术导则。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b w:val="0"/>
          <w:bCs w:val="0"/>
          <w:sz w:val="32"/>
          <w:szCs w:val="32"/>
          <w:highlight w:val="none"/>
          <w:shd w:val="clear" w:color="auto" w:fill="FFFFFF"/>
        </w:rPr>
      </w:pPr>
      <w:r>
        <w:rPr>
          <w:rFonts w:hint="eastAsia" w:ascii="仿宋_GB2312" w:hAnsi="仿宋_GB2312" w:eastAsia="仿宋_GB2312" w:cs="仿宋_GB2312"/>
          <w:b w:val="0"/>
          <w:bCs w:val="0"/>
          <w:sz w:val="32"/>
          <w:szCs w:val="32"/>
          <w:highlight w:val="none"/>
          <w:shd w:val="clear" w:color="auto" w:fill="FFFFFF"/>
        </w:rPr>
        <w:t>海绵城市规划、设计、建设、运行维护应当符合国家、省、市相关技术标准要求。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市、县（市、区）人民政府海绵城市建设管理主管部门会同规划和自然资源、住房和城乡建设、生态环境、水行政等主管部门编制</w:t>
      </w:r>
      <w:bookmarkStart w:id="1" w:name="_Hlk116937352"/>
      <w:r>
        <w:rPr>
          <w:rFonts w:hint="eastAsia" w:ascii="仿宋_GB2312" w:hAnsi="仿宋_GB2312" w:eastAsia="仿宋_GB2312" w:cs="仿宋_GB2312"/>
          <w:sz w:val="32"/>
          <w:szCs w:val="32"/>
          <w:highlight w:val="none"/>
        </w:rPr>
        <w:t>海绵城市专项规划</w:t>
      </w:r>
      <w:bookmarkEnd w:id="1"/>
      <w:r>
        <w:rPr>
          <w:rFonts w:hint="eastAsia" w:ascii="仿宋_GB2312" w:hAnsi="仿宋_GB2312" w:eastAsia="仿宋_GB2312" w:cs="仿宋_GB2312"/>
          <w:sz w:val="32"/>
          <w:szCs w:val="32"/>
          <w:highlight w:val="none"/>
        </w:rPr>
        <w:t>，报同级人民政府批准后实施。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编制详细规划</w:t>
      </w:r>
      <w:r>
        <w:rPr>
          <w:rFonts w:hint="eastAsia" w:ascii="仿宋_GB2312" w:hAnsi="仿宋_GB2312" w:eastAsia="仿宋_GB2312" w:cs="仿宋_GB2312"/>
          <w:sz w:val="32"/>
          <w:szCs w:val="32"/>
          <w:highlight w:val="none"/>
          <w:lang w:eastAsia="zh-CN"/>
        </w:rPr>
        <w:t>以</w:t>
      </w:r>
      <w:r>
        <w:rPr>
          <w:rFonts w:hint="eastAsia" w:ascii="仿宋_GB2312" w:hAnsi="仿宋_GB2312" w:eastAsia="仿宋_GB2312" w:cs="仿宋_GB2312"/>
          <w:sz w:val="32"/>
          <w:szCs w:val="32"/>
          <w:highlight w:val="none"/>
        </w:rPr>
        <w:t>及道路、绿地、水系、排水防涝</w:t>
      </w:r>
      <w:r>
        <w:rPr>
          <w:rFonts w:hint="eastAsia" w:ascii="仿宋_GB2312" w:hAnsi="仿宋_GB2312" w:eastAsia="仿宋_GB2312" w:cs="仿宋_GB2312"/>
          <w:sz w:val="32"/>
          <w:szCs w:val="32"/>
          <w:highlight w:val="none"/>
          <w:lang w:eastAsia="zh-CN"/>
        </w:rPr>
        <w:t>、再生水利用</w:t>
      </w:r>
      <w:r>
        <w:rPr>
          <w:rFonts w:hint="eastAsia" w:ascii="仿宋_GB2312" w:hAnsi="仿宋_GB2312" w:eastAsia="仿宋_GB2312" w:cs="仿宋_GB2312"/>
          <w:sz w:val="32"/>
          <w:szCs w:val="32"/>
          <w:highlight w:val="none"/>
        </w:rPr>
        <w:t>等相关专项规划，应当将海绵城市建设内容和有关要求纳入其中。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雨水年径流总量控制率应当作为详细规划的控制指标，在规划设计条件中予以明确。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市、县（市、区）人民政府规划和自然资源主管部门供应建设用地时，应当明确</w:t>
      </w:r>
      <w:r>
        <w:rPr>
          <w:rFonts w:ascii="仿宋_GB2312" w:hAnsi="仿宋_GB2312" w:eastAsia="仿宋_GB2312" w:cs="仿宋_GB2312"/>
          <w:sz w:val="32"/>
          <w:szCs w:val="32"/>
          <w:highlight w:val="none"/>
        </w:rPr>
        <w:t>海绵</w:t>
      </w:r>
      <w:r>
        <w:rPr>
          <w:rFonts w:hint="eastAsia" w:ascii="仿宋_GB2312" w:hAnsi="仿宋_GB2312" w:eastAsia="仿宋_GB2312" w:cs="仿宋_GB2312"/>
          <w:sz w:val="32"/>
          <w:szCs w:val="32"/>
          <w:highlight w:val="none"/>
        </w:rPr>
        <w:t>城市</w:t>
      </w:r>
      <w:r>
        <w:rPr>
          <w:rFonts w:ascii="仿宋_GB2312" w:hAnsi="仿宋_GB2312" w:eastAsia="仿宋_GB2312" w:cs="仿宋_GB2312"/>
          <w:sz w:val="32"/>
          <w:szCs w:val="32"/>
          <w:highlight w:val="none"/>
        </w:rPr>
        <w:t>建设内容和指标要求，</w:t>
      </w:r>
      <w:r>
        <w:rPr>
          <w:rFonts w:hint="eastAsia" w:ascii="仿宋_GB2312" w:hAnsi="仿宋_GB2312" w:eastAsia="仿宋_GB2312" w:cs="仿宋_GB2312"/>
          <w:sz w:val="32"/>
          <w:szCs w:val="32"/>
          <w:highlight w:val="none"/>
        </w:rPr>
        <w:t>并纳入规划用地条件。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建设、设计、施工、监理等单位应当遵守下列规定：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（一）海绵城市设施应当与建设工程项目主体工程同步设计、同步施工、同步验收、同步交付使用；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（二）建设单位应当在设计招标文件中明确海绵城市建设相关要求；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（三）设计单位在项目方案设计、初步设计和施工图设计中应当设置海绵城市建设专篇；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（四）施工单位应当严格按图施工，对海绵城市建设使用的原材料、半成品、构配件和设备进行检验，隐蔽工程在隐蔽前应当通知建设单位和建设工程质量监督机构进行检查；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（五）监理单位应当依照法律法规以及设计文件、建设工程承包合同，对施工质量实施监理。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Times New Roman"/>
          <w:color w:val="000000"/>
          <w:kern w:val="0"/>
          <w:sz w:val="32"/>
          <w:szCs w:val="32"/>
          <w:highlight w:val="none"/>
        </w:rPr>
        <w:t>第十</w:t>
      </w:r>
      <w:r>
        <w:rPr>
          <w:rFonts w:hint="eastAsia" w:ascii="黑体" w:hAnsi="黑体" w:eastAsia="黑体" w:cs="Times New Roman"/>
          <w:color w:val="000000"/>
          <w:kern w:val="0"/>
          <w:sz w:val="32"/>
          <w:szCs w:val="32"/>
          <w:highlight w:val="none"/>
          <w:lang w:eastAsia="zh-CN"/>
        </w:rPr>
        <w:t>二</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工程建设项目按照下列规定进行海绵城市建设：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（一）建筑与小区建设应当采取雨水调蓄与收集利用、雨污分流等措施，提高雨水积存和滞蓄能力；</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（二）道路与广场建设应当改变雨水快排、直排方式，增强道路绿化带对雨水的消纳功能，在非机动车道、人行道、停车场、广场等使用透水铺装，推行道路与广场雨水的收集、净化和利用；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（三）新建公园绿地应当采取雨水花园、下沉式绿地、人工湿地、植被缓冲带、雨水塘、生态堤岸等低影响开发措施，现有公园绿地按照海绵城市建设要求合理提升改造；</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（四）城市排水防涝设施建设应当改造和消除城市易涝点，实施雨污分流，控制初期雨水污染；</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（五）城市河湖、湿地、坑塘、沟渠等</w:t>
      </w:r>
      <w:r>
        <w:rPr>
          <w:rFonts w:hint="eastAsia" w:ascii="仿宋_GB2312" w:hAnsi="仿宋_GB2312" w:eastAsia="仿宋_GB2312" w:cs="仿宋_GB2312"/>
          <w:sz w:val="32"/>
          <w:szCs w:val="32"/>
          <w:highlight w:val="none"/>
          <w:lang w:eastAsia="zh-CN"/>
        </w:rPr>
        <w:t>水体整治</w:t>
      </w:r>
      <w:r>
        <w:rPr>
          <w:rFonts w:hint="eastAsia" w:ascii="仿宋_GB2312" w:hAnsi="仿宋_GB2312" w:eastAsia="仿宋_GB2312" w:cs="仿宋_GB2312"/>
          <w:sz w:val="32"/>
          <w:szCs w:val="32"/>
          <w:highlight w:val="none"/>
        </w:rPr>
        <w:t>应当合理开展水系连通，增强水体流动性和自我恢复功能，提高雨洪径流的调蓄调配能力</w:t>
      </w:r>
      <w:r>
        <w:rPr>
          <w:rFonts w:hint="eastAsia" w:ascii="仿宋_GB2312" w:hAnsi="仿宋_GB2312" w:eastAsia="仿宋_GB2312" w:cs="仿宋_GB2312"/>
          <w:sz w:val="32"/>
          <w:szCs w:val="32"/>
          <w:highlight w:val="none"/>
          <w:lang w:eastAsia="zh-CN"/>
        </w:rPr>
        <w:t>。</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highlight w:val="none"/>
        </w:rPr>
      </w:pPr>
      <w:r>
        <w:rPr>
          <w:rFonts w:hint="eastAsia" w:ascii="仿宋_GB2312" w:hAnsi="仿宋_GB2312" w:eastAsia="仿宋_GB2312" w:cs="仿宋_GB2312"/>
          <w:sz w:val="32"/>
          <w:szCs w:val="32"/>
          <w:highlight w:val="none"/>
        </w:rPr>
        <w:t>老旧小区改造</w:t>
      </w:r>
      <w:r>
        <w:rPr>
          <w:rFonts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rPr>
        <w:t>雨污分流、黑臭水体以及易涝点治理、停车场建设等工程应当同步进行海绵城市设计与建设。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位于地质灾害易发区、特殊污染源地区内的建设项目，以及桥梁、隧道、照明、文物保护、零星修缮、应急抢险、保密工程等建设项目可以在建设审批环节对其海绵城市建设管控指标不作要求，纳入海绵城市建设项目豁免清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海绵城市建设项目豁免清单由市人民政府</w:t>
      </w:r>
      <w:r>
        <w:rPr>
          <w:rFonts w:hint="eastAsia" w:ascii="仿宋_GB2312" w:hAnsi="仿宋_GB2312" w:eastAsia="仿宋_GB2312" w:cs="仿宋_GB2312"/>
          <w:sz w:val="32"/>
          <w:szCs w:val="32"/>
          <w:highlight w:val="none"/>
          <w:lang w:val="en-US" w:eastAsia="zh-CN"/>
        </w:rPr>
        <w:t>海绵城市建设管理主管部门会同</w:t>
      </w:r>
      <w:r>
        <w:rPr>
          <w:rFonts w:hint="eastAsia" w:ascii="仿宋_GB2312" w:hAnsi="仿宋_GB2312" w:eastAsia="仿宋_GB2312" w:cs="仿宋_GB2312"/>
          <w:sz w:val="32"/>
          <w:szCs w:val="32"/>
          <w:highlight w:val="none"/>
        </w:rPr>
        <w:t>住房和城乡建设、城市管理、交通运输、水行政等主管部门制定，报市</w:t>
      </w:r>
      <w:r>
        <w:rPr>
          <w:rFonts w:hint="eastAsia" w:ascii="仿宋_GB2312" w:hAnsi="仿宋_GB2312" w:eastAsia="仿宋_GB2312" w:cs="仿宋_GB2312"/>
          <w:sz w:val="32"/>
          <w:szCs w:val="32"/>
          <w:highlight w:val="none"/>
          <w:lang w:eastAsia="zh-CN"/>
        </w:rPr>
        <w:t>人民</w:t>
      </w:r>
      <w:r>
        <w:rPr>
          <w:rFonts w:hint="eastAsia" w:ascii="仿宋_GB2312" w:hAnsi="仿宋_GB2312" w:eastAsia="仿宋_GB2312" w:cs="仿宋_GB2312"/>
          <w:sz w:val="32"/>
          <w:szCs w:val="32"/>
          <w:highlight w:val="none"/>
        </w:rPr>
        <w:t>政府同意后实施。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市、县（市、区）人民政府住房和城乡建设、城市管理、交通运输、水行政等主管部门应当按照各自职责将海绵城市建设纳入工程质量监督范围，加强地下管网、调蓄设施等隐蔽工程的质量检查和记录。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五</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建设工程项目竣工验收时，住房</w:t>
      </w:r>
      <w:r>
        <w:rPr>
          <w:rFonts w:ascii="仿宋_GB2312" w:hAnsi="仿宋_GB2312" w:eastAsia="仿宋_GB2312" w:cs="仿宋_GB2312"/>
          <w:sz w:val="32"/>
          <w:szCs w:val="32"/>
          <w:highlight w:val="none"/>
        </w:rPr>
        <w:t>和城</w:t>
      </w:r>
      <w:r>
        <w:rPr>
          <w:rFonts w:hint="eastAsia" w:ascii="仿宋_GB2312" w:hAnsi="仿宋_GB2312" w:eastAsia="仿宋_GB2312" w:cs="仿宋_GB2312"/>
          <w:sz w:val="32"/>
          <w:szCs w:val="32"/>
          <w:highlight w:val="none"/>
        </w:rPr>
        <w:t>乡</w:t>
      </w:r>
      <w:r>
        <w:rPr>
          <w:rFonts w:ascii="仿宋_GB2312" w:hAnsi="仿宋_GB2312" w:eastAsia="仿宋_GB2312" w:cs="仿宋_GB2312"/>
          <w:sz w:val="32"/>
          <w:szCs w:val="32"/>
          <w:highlight w:val="none"/>
        </w:rPr>
        <w:t>建设</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交通运输、水行政</w:t>
      </w:r>
      <w:r>
        <w:rPr>
          <w:rFonts w:hint="eastAsia" w:ascii="仿宋_GB2312" w:hAnsi="仿宋_GB2312" w:eastAsia="仿宋_GB2312" w:cs="仿宋_GB2312"/>
          <w:sz w:val="32"/>
          <w:szCs w:val="32"/>
          <w:highlight w:val="none"/>
          <w:lang w:eastAsia="zh-CN"/>
        </w:rPr>
        <w:t>等</w:t>
      </w:r>
      <w:r>
        <w:rPr>
          <w:rFonts w:hint="eastAsia" w:ascii="仿宋_GB2312" w:hAnsi="仿宋_GB2312" w:eastAsia="仿宋_GB2312" w:cs="仿宋_GB2312"/>
          <w:sz w:val="32"/>
          <w:szCs w:val="32"/>
          <w:highlight w:val="none"/>
        </w:rPr>
        <w:t>主管</w:t>
      </w:r>
      <w:r>
        <w:rPr>
          <w:rFonts w:ascii="仿宋_GB2312" w:hAnsi="仿宋_GB2312" w:eastAsia="仿宋_GB2312" w:cs="仿宋_GB2312"/>
          <w:sz w:val="32"/>
          <w:szCs w:val="32"/>
          <w:highlight w:val="none"/>
        </w:rPr>
        <w:t>部门</w:t>
      </w:r>
      <w:r>
        <w:rPr>
          <w:rFonts w:hint="eastAsia" w:ascii="仿宋_GB2312" w:hAnsi="仿宋_GB2312" w:eastAsia="仿宋_GB2312" w:cs="仿宋_GB2312"/>
          <w:sz w:val="32"/>
          <w:szCs w:val="32"/>
          <w:highlight w:val="none"/>
        </w:rPr>
        <w:t>应当通知海绵城市</w:t>
      </w:r>
      <w:r>
        <w:rPr>
          <w:rFonts w:ascii="仿宋_GB2312" w:hAnsi="仿宋_GB2312" w:eastAsia="仿宋_GB2312" w:cs="仿宋_GB2312"/>
          <w:sz w:val="32"/>
          <w:szCs w:val="32"/>
          <w:highlight w:val="none"/>
        </w:rPr>
        <w:t>建设管理主管部门</w:t>
      </w:r>
      <w:r>
        <w:rPr>
          <w:rFonts w:hint="eastAsia" w:ascii="仿宋_GB2312" w:hAnsi="仿宋_GB2312" w:eastAsia="仿宋_GB2312" w:cs="仿宋_GB2312"/>
          <w:sz w:val="32"/>
          <w:szCs w:val="32"/>
          <w:highlight w:val="none"/>
        </w:rPr>
        <w:t>对</w:t>
      </w:r>
      <w:r>
        <w:rPr>
          <w:rFonts w:ascii="仿宋_GB2312" w:hAnsi="仿宋_GB2312" w:eastAsia="仿宋_GB2312" w:cs="仿宋_GB2312"/>
          <w:sz w:val="32"/>
          <w:szCs w:val="32"/>
          <w:highlight w:val="none"/>
        </w:rPr>
        <w:t>海绵城市</w:t>
      </w:r>
      <w:r>
        <w:rPr>
          <w:rFonts w:hint="eastAsia" w:ascii="仿宋_GB2312" w:hAnsi="仿宋_GB2312" w:eastAsia="仿宋_GB2312" w:cs="仿宋_GB2312"/>
          <w:sz w:val="32"/>
          <w:szCs w:val="32"/>
          <w:highlight w:val="none"/>
        </w:rPr>
        <w:t>建设</w:t>
      </w:r>
      <w:r>
        <w:rPr>
          <w:rFonts w:ascii="仿宋_GB2312" w:hAnsi="仿宋_GB2312" w:eastAsia="仿宋_GB2312" w:cs="仿宋_GB2312"/>
          <w:sz w:val="32"/>
          <w:szCs w:val="32"/>
          <w:highlight w:val="none"/>
        </w:rPr>
        <w:t>内容</w:t>
      </w:r>
      <w:r>
        <w:rPr>
          <w:rFonts w:hint="eastAsia" w:ascii="仿宋_GB2312" w:hAnsi="仿宋_GB2312" w:eastAsia="仿宋_GB2312" w:cs="仿宋_GB2312"/>
          <w:sz w:val="32"/>
          <w:szCs w:val="32"/>
          <w:highlight w:val="none"/>
          <w:lang w:eastAsia="zh-CN"/>
        </w:rPr>
        <w:t>的竣工验收进行监督</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政府投资建设的海绵城市设施由市、县（市、区）人民政府相关主管部门负责运行维护，或者通过政府购买服务等方式按照合同约定运行维护。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社会投资建设的海绵城市设施，由所有权人或者其委托单位负责运行维护。</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运行维护单位不明确的</w:t>
      </w:r>
      <w:r>
        <w:rPr>
          <w:rFonts w:ascii="仿宋_GB2312" w:hAnsi="仿宋_GB2312" w:eastAsia="仿宋_GB2312" w:cs="仿宋_GB2312"/>
          <w:sz w:val="32"/>
          <w:szCs w:val="32"/>
          <w:highlight w:val="none"/>
        </w:rPr>
        <w:t>，按照</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谁使用</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谁维护</w:t>
      </w:r>
      <w:r>
        <w:rPr>
          <w:rFonts w:hint="eastAsia" w:ascii="仿宋_GB2312" w:hAnsi="仿宋_GB2312" w:eastAsia="仿宋_GB2312" w:cs="仿宋_GB2312"/>
          <w:sz w:val="32"/>
          <w:szCs w:val="32"/>
          <w:highlight w:val="none"/>
        </w:rPr>
        <w:t>”</w:t>
      </w:r>
      <w:r>
        <w:rPr>
          <w:rFonts w:ascii="仿宋_GB2312" w:hAnsi="仿宋_GB2312" w:eastAsia="仿宋_GB2312" w:cs="仿宋_GB2312"/>
          <w:sz w:val="32"/>
          <w:szCs w:val="32"/>
          <w:highlight w:val="none"/>
        </w:rPr>
        <w:t>的原则确定</w:t>
      </w:r>
      <w:r>
        <w:rPr>
          <w:rFonts w:hint="eastAsia" w:ascii="仿宋_GB2312" w:hAnsi="仿宋_GB2312" w:eastAsia="仿宋_GB2312" w:cs="仿宋_GB2312"/>
          <w:sz w:val="32"/>
          <w:szCs w:val="32"/>
          <w:highlight w:val="none"/>
        </w:rPr>
        <w:t>。</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运行维护单位应当建立海绵城市设施维护制度和操作规程，配备专人管理，开展定期巡查、养护、维修和监测，建立运行维护台账，保障海绵城市设施正常运行。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运行维护单位应当在城市雨水行泄通道、下穿式立交桥、缓洪池等易发生内涝的路段、区域，设置警示标识和</w:t>
      </w:r>
      <w:r>
        <w:rPr>
          <w:rFonts w:ascii="仿宋_GB2312" w:hAnsi="仿宋_GB2312" w:eastAsia="仿宋_GB2312" w:cs="仿宋_GB2312"/>
          <w:sz w:val="32"/>
          <w:szCs w:val="32"/>
          <w:highlight w:val="none"/>
        </w:rPr>
        <w:t>监测预警装置</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任何单位和个人不得</w:t>
      </w:r>
      <w:bookmarkStart w:id="2" w:name="_Hlk116937928"/>
      <w:r>
        <w:rPr>
          <w:rFonts w:hint="eastAsia" w:ascii="仿宋_GB2312" w:hAnsi="仿宋_GB2312" w:eastAsia="仿宋_GB2312" w:cs="仿宋_GB2312"/>
          <w:sz w:val="32"/>
          <w:szCs w:val="32"/>
          <w:highlight w:val="none"/>
        </w:rPr>
        <w:t>侵占、损毁、擅自移动海绵城市设施</w:t>
      </w:r>
      <w:bookmarkEnd w:id="2"/>
      <w:r>
        <w:rPr>
          <w:rFonts w:hint="eastAsia" w:ascii="仿宋_GB2312" w:hAnsi="仿宋_GB2312" w:eastAsia="仿宋_GB2312" w:cs="仿宋_GB2312"/>
          <w:sz w:val="32"/>
          <w:szCs w:val="32"/>
          <w:highlight w:val="none"/>
          <w:lang w:eastAsia="zh-CN"/>
        </w:rPr>
        <w:t>及其</w:t>
      </w:r>
      <w:r>
        <w:rPr>
          <w:rFonts w:hint="eastAsia" w:ascii="仿宋_GB2312" w:hAnsi="仿宋_GB2312" w:eastAsia="仿宋_GB2312" w:cs="仿宋_GB2312"/>
          <w:sz w:val="32"/>
          <w:szCs w:val="32"/>
          <w:highlight w:val="none"/>
        </w:rPr>
        <w:t>配套监测设施。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新建、改建、扩建建设工程应当避开海绵城市设施及</w:t>
      </w:r>
      <w:r>
        <w:rPr>
          <w:rFonts w:hint="eastAsia" w:ascii="仿宋_GB2312" w:hAnsi="仿宋_GB2312" w:eastAsia="仿宋_GB2312" w:cs="仿宋_GB2312"/>
          <w:sz w:val="32"/>
          <w:szCs w:val="32"/>
          <w:highlight w:val="none"/>
          <w:lang w:eastAsia="zh-CN"/>
        </w:rPr>
        <w:t>其</w:t>
      </w:r>
      <w:r>
        <w:rPr>
          <w:rFonts w:hint="eastAsia" w:ascii="仿宋_GB2312" w:hAnsi="仿宋_GB2312" w:eastAsia="仿宋_GB2312" w:cs="仿宋_GB2312"/>
          <w:sz w:val="32"/>
          <w:szCs w:val="32"/>
          <w:highlight w:val="none"/>
        </w:rPr>
        <w:t>配套监测设施；因工程建设等确需挖掘、拆除、改动、占用海绵城市设施的，应当报</w:t>
      </w:r>
      <w:r>
        <w:rPr>
          <w:rFonts w:hint="eastAsia" w:ascii="仿宋_GB2312" w:hAnsi="仿宋_GB2312" w:eastAsia="仿宋_GB2312" w:cs="仿宋_GB2312"/>
          <w:sz w:val="32"/>
          <w:szCs w:val="32"/>
          <w:highlight w:val="none"/>
          <w:lang w:eastAsia="zh-CN"/>
        </w:rPr>
        <w:t>相关</w:t>
      </w:r>
      <w:r>
        <w:rPr>
          <w:rFonts w:hint="eastAsia" w:ascii="仿宋_GB2312" w:hAnsi="仿宋_GB2312" w:eastAsia="仿宋_GB2312" w:cs="仿宋_GB2312"/>
          <w:sz w:val="32"/>
          <w:szCs w:val="32"/>
          <w:highlight w:val="none"/>
        </w:rPr>
        <w:t>主管部门审</w:t>
      </w:r>
      <w:r>
        <w:rPr>
          <w:rFonts w:hint="eastAsia" w:ascii="仿宋_GB2312" w:hAnsi="仿宋_GB2312" w:eastAsia="仿宋_GB2312" w:cs="仿宋_GB2312"/>
          <w:sz w:val="32"/>
          <w:szCs w:val="32"/>
          <w:highlight w:val="none"/>
          <w:lang w:eastAsia="zh-CN"/>
        </w:rPr>
        <w:t>核</w:t>
      </w:r>
      <w:r>
        <w:rPr>
          <w:rFonts w:hint="eastAsia" w:ascii="仿宋_GB2312" w:hAnsi="仿宋_GB2312" w:eastAsia="仿宋_GB2312" w:cs="仿宋_GB2312"/>
          <w:sz w:val="32"/>
          <w:szCs w:val="32"/>
          <w:highlight w:val="none"/>
        </w:rPr>
        <w:t>，并由建设单位承担恢复和改建费用。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二十</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lang w:val="en-US" w:eastAsia="zh-CN"/>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lang w:val="en-US" w:eastAsia="zh-CN"/>
        </w:rPr>
        <w:t>　</w:t>
      </w:r>
      <w:r>
        <w:rPr>
          <w:rFonts w:hint="eastAsia" w:ascii="仿宋_GB2312" w:hAnsi="仿宋_GB2312" w:eastAsia="仿宋_GB2312" w:cs="仿宋_GB2312"/>
          <w:sz w:val="32"/>
          <w:szCs w:val="32"/>
          <w:highlight w:val="none"/>
        </w:rPr>
        <w:t>本条例</w:t>
      </w:r>
      <w:r>
        <w:rPr>
          <w:rFonts w:hint="default" w:ascii="Times New Roman" w:hAnsi="Times New Roman" w:eastAsia="仿宋_GB2312" w:cs="Times New Roman"/>
          <w:sz w:val="32"/>
          <w:szCs w:val="32"/>
          <w:highlight w:val="none"/>
        </w:rPr>
        <w:t>自</w:t>
      </w:r>
      <w:r>
        <w:rPr>
          <w:rFonts w:hint="default" w:ascii="Times New Roman" w:hAnsi="Times New Roman" w:eastAsia="仿宋_GB2312" w:cs="Times New Roman"/>
          <w:sz w:val="32"/>
          <w:szCs w:val="32"/>
          <w:highlight w:val="none"/>
          <w:lang w:val="en-US" w:eastAsia="zh-CN"/>
        </w:rPr>
        <w:t>2023</w:t>
      </w:r>
      <w:r>
        <w:rPr>
          <w:rFonts w:hint="default" w:ascii="Times New Roman" w:hAnsi="Times New Roman" w:eastAsia="仿宋_GB2312" w:cs="Times New Roman"/>
          <w:sz w:val="32"/>
          <w:szCs w:val="32"/>
          <w:highlight w:val="none"/>
        </w:rPr>
        <w:t>年</w:t>
      </w:r>
      <w:r>
        <w:rPr>
          <w:rFonts w:hint="default" w:ascii="Times New Roman" w:hAnsi="Times New Roman" w:eastAsia="仿宋_GB2312" w:cs="Times New Roman"/>
          <w:sz w:val="32"/>
          <w:szCs w:val="32"/>
          <w:highlight w:val="none"/>
          <w:lang w:val="en-US" w:eastAsia="zh-CN"/>
        </w:rPr>
        <w:t>10</w:t>
      </w:r>
      <w:r>
        <w:rPr>
          <w:rFonts w:hint="default" w:ascii="Times New Roman" w:hAnsi="Times New Roman" w:eastAsia="仿宋_GB2312" w:cs="Times New Roman"/>
          <w:sz w:val="32"/>
          <w:szCs w:val="32"/>
          <w:highlight w:val="none"/>
        </w:rPr>
        <w:t>月</w:t>
      </w:r>
      <w:r>
        <w:rPr>
          <w:rFonts w:hint="default" w:ascii="Times New Roman" w:hAnsi="Times New Roman" w:eastAsia="仿宋_GB2312" w:cs="Times New Roman"/>
          <w:sz w:val="32"/>
          <w:szCs w:val="32"/>
          <w:highlight w:val="none"/>
          <w:lang w:val="en-US" w:eastAsia="zh-CN"/>
        </w:rPr>
        <w:t>1</w:t>
      </w:r>
      <w:r>
        <w:rPr>
          <w:rFonts w:hint="default" w:ascii="Times New Roman" w:hAnsi="Times New Roman" w:eastAsia="仿宋_GB2312" w:cs="Times New Roman"/>
          <w:sz w:val="32"/>
          <w:szCs w:val="32"/>
          <w:highlight w:val="none"/>
        </w:rPr>
        <w:t>日起</w:t>
      </w:r>
      <w:r>
        <w:rPr>
          <w:rFonts w:hint="eastAsia" w:ascii="仿宋_GB2312" w:hAnsi="仿宋_GB2312" w:eastAsia="仿宋_GB2312" w:cs="仿宋_GB2312"/>
          <w:sz w:val="32"/>
          <w:szCs w:val="32"/>
          <w:highlight w:val="none"/>
        </w:rPr>
        <w:t>施行。</w:t>
      </w:r>
      <w:bookmarkStart w:id="4" w:name="_GoBack"/>
      <w:bookmarkEnd w:id="4"/>
      <w:bookmarkStart w:id="3" w:name="tiao4_kuan4"/>
      <w:bookmarkEnd w:id="3"/>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D9804AC"/>
    <w:rsid w:val="0FB2629C"/>
    <w:rsid w:val="10CA7A92"/>
    <w:rsid w:val="11054319"/>
    <w:rsid w:val="113F5A0D"/>
    <w:rsid w:val="11E4354D"/>
    <w:rsid w:val="124F64A1"/>
    <w:rsid w:val="126B3FF7"/>
    <w:rsid w:val="14F41582"/>
    <w:rsid w:val="16BA5F81"/>
    <w:rsid w:val="1A8F40AA"/>
    <w:rsid w:val="1BAB226E"/>
    <w:rsid w:val="1C00080C"/>
    <w:rsid w:val="1CA94A00"/>
    <w:rsid w:val="1CF57F55"/>
    <w:rsid w:val="221A036C"/>
    <w:rsid w:val="23E826CC"/>
    <w:rsid w:val="265A7FAD"/>
    <w:rsid w:val="2B041036"/>
    <w:rsid w:val="2DB4438A"/>
    <w:rsid w:val="31E9151E"/>
    <w:rsid w:val="34CE2DFE"/>
    <w:rsid w:val="36A41292"/>
    <w:rsid w:val="392D1EC7"/>
    <w:rsid w:val="3AAA561F"/>
    <w:rsid w:val="3AB66220"/>
    <w:rsid w:val="3DE63740"/>
    <w:rsid w:val="3E1F320A"/>
    <w:rsid w:val="3FBB675E"/>
    <w:rsid w:val="412B12FB"/>
    <w:rsid w:val="450C508D"/>
    <w:rsid w:val="481351D2"/>
    <w:rsid w:val="53543565"/>
    <w:rsid w:val="558A062C"/>
    <w:rsid w:val="56AE0827"/>
    <w:rsid w:val="58613E05"/>
    <w:rsid w:val="5BEF34D6"/>
    <w:rsid w:val="5F981276"/>
    <w:rsid w:val="60ED7553"/>
    <w:rsid w:val="6100537D"/>
    <w:rsid w:val="61C64CD9"/>
    <w:rsid w:val="622F12CF"/>
    <w:rsid w:val="63974B7F"/>
    <w:rsid w:val="653E08AD"/>
    <w:rsid w:val="6A973924"/>
    <w:rsid w:val="6C6275A3"/>
    <w:rsid w:val="6C9446F5"/>
    <w:rsid w:val="6CA47B3E"/>
    <w:rsid w:val="71B9247E"/>
    <w:rsid w:val="73D47729"/>
    <w:rsid w:val="76707284"/>
    <w:rsid w:val="7B122627"/>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5">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6">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6">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next w:val="4"/>
    <w:qFormat/>
    <w:uiPriority w:val="0"/>
    <w:pPr>
      <w:spacing w:after="120"/>
    </w:pPr>
  </w:style>
  <w:style w:type="paragraph" w:customStyle="1" w:styleId="4">
    <w:name w:val="正文文本 21"/>
    <w:basedOn w:val="1"/>
    <w:qFormat/>
    <w:uiPriority w:val="99"/>
    <w:pPr>
      <w:spacing w:after="120" w:line="480" w:lineRule="auto"/>
    </w:pPr>
    <w:rPr>
      <w:rFonts w:ascii="Times New Roman" w:hAnsi="Times New Roman" w:eastAsia="宋体"/>
    </w:rPr>
  </w:style>
  <w:style w:type="paragraph" w:styleId="7">
    <w:name w:val="Normal Indent"/>
    <w:basedOn w:val="1"/>
    <w:next w:val="1"/>
    <w:qFormat/>
    <w:uiPriority w:val="0"/>
    <w:pPr>
      <w:ind w:firstLine="420" w:firstLineChars="200"/>
    </w:pPr>
    <w:rPr>
      <w:rFonts w:ascii="Calibri" w:hAnsi="Calibri" w:eastAsia="宋体"/>
    </w:rPr>
  </w:style>
  <w:style w:type="paragraph" w:styleId="8">
    <w:name w:val="Plain Text"/>
    <w:basedOn w:val="1"/>
    <w:qFormat/>
    <w:uiPriority w:val="0"/>
    <w:rPr>
      <w:rFonts w:ascii="宋体" w:cs="Courier New"/>
      <w:szCs w:val="21"/>
    </w:rPr>
  </w:style>
  <w:style w:type="paragraph" w:styleId="9">
    <w:name w:val="Body Text Indent 2"/>
    <w:basedOn w:val="10"/>
    <w:next w:val="1"/>
    <w:unhideWhenUsed/>
    <w:qFormat/>
    <w:uiPriority w:val="0"/>
    <w:pPr>
      <w:spacing w:line="590" w:lineRule="exact"/>
      <w:ind w:firstLine="880" w:firstLineChars="200"/>
    </w:pPr>
    <w:rPr>
      <w:rFonts w:eastAsia="方正仿宋_GBK"/>
    </w:rPr>
  </w:style>
  <w:style w:type="paragraph" w:customStyle="1" w:styleId="10">
    <w:name w:val="正文_0"/>
    <w:next w:val="9"/>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4">
    <w:name w:val="toc 2"/>
    <w:basedOn w:val="1"/>
    <w:next w:val="1"/>
    <w:qFormat/>
    <w:uiPriority w:val="0"/>
    <w:pPr>
      <w:ind w:left="420" w:leftChars="200"/>
    </w:pPr>
    <w:rPr>
      <w:rFonts w:ascii="宋体" w:hAnsi="宋体" w:cs="楷体"/>
      <w:b/>
      <w:sz w:val="28"/>
      <w:szCs w:val="28"/>
      <w:shd w:val="clear" w:color="auto" w:fill="FFFFFF"/>
    </w:rPr>
  </w:style>
  <w:style w:type="character" w:styleId="17">
    <w:name w:val="Strong"/>
    <w:basedOn w:val="16"/>
    <w:qFormat/>
    <w:uiPriority w:val="22"/>
    <w:rPr>
      <w:bCs/>
    </w:rPr>
  </w:style>
  <w:style w:type="character" w:styleId="18">
    <w:name w:val="page number"/>
    <w:basedOn w:val="16"/>
    <w:qFormat/>
    <w:uiPriority w:val="99"/>
    <w:rPr>
      <w:rFonts w:cs="Times New Roman"/>
    </w:rPr>
  </w:style>
  <w:style w:type="character" w:styleId="19">
    <w:name w:val="FollowedHyperlink"/>
    <w:unhideWhenUsed/>
    <w:qFormat/>
    <w:uiPriority w:val="99"/>
    <w:rPr>
      <w:color w:val="954F72"/>
      <w:u w:val="single"/>
    </w:rPr>
  </w:style>
  <w:style w:type="character" w:styleId="20">
    <w:name w:val="Hyperlink"/>
    <w:qFormat/>
    <w:uiPriority w:val="99"/>
    <w:rPr>
      <w:rFonts w:hint="default" w:ascii="ˎ̥" w:hAnsi="ˎ̥"/>
      <w:color w:val="0404B3"/>
      <w:sz w:val="18"/>
      <w:szCs w:val="18"/>
      <w:u w:val="none"/>
    </w:rPr>
  </w:style>
  <w:style w:type="paragraph" w:customStyle="1" w:styleId="21">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character" w:customStyle="1" w:styleId="22">
    <w:name w:val="页脚 字符"/>
    <w:link w:val="11"/>
    <w:qFormat/>
    <w:uiPriority w:val="99"/>
    <w:rPr>
      <w:sz w:val="18"/>
      <w:szCs w:val="18"/>
    </w:rPr>
  </w:style>
  <w:style w:type="character" w:customStyle="1" w:styleId="23">
    <w:name w:val="页眉 字符"/>
    <w:link w:val="12"/>
    <w:qFormat/>
    <w:uiPriority w:val="99"/>
    <w:rPr>
      <w:sz w:val="18"/>
      <w:szCs w:val="18"/>
    </w:rPr>
  </w:style>
  <w:style w:type="paragraph" w:customStyle="1" w:styleId="24">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2518</Words>
  <Characters>2530</Characters>
  <Lines>1</Lines>
  <Paragraphs>1</Paragraphs>
  <TotalTime>2</TotalTime>
  <ScaleCrop>false</ScaleCrop>
  <LinksUpToDate>false</LinksUpToDate>
  <CharactersWithSpaces>2552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2023-08-29T03:28:32Z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