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suppressLineNumbers w:val="0"/>
        <w:spacing w:before="0" w:beforeAutospacing="0" w:after="0" w:afterAutospacing="0" w:line="498" w:lineRule="exact"/>
        <w:ind w:left="0" w:right="0" w:firstLine="2200" w:firstLineChars="500"/>
        <w:jc w:val="left"/>
        <w:rPr>
          <w:rFonts w:hint="eastAsia" w:ascii="宋体" w:hAnsi="宋体" w:eastAsia="宋体" w:cs="宋体"/>
          <w:color w:val="000000"/>
          <w:sz w:val="44"/>
          <w:szCs w:val="44"/>
          <w:lang w:val="en-US"/>
        </w:rPr>
      </w:pPr>
      <w:r>
        <w:rPr>
          <w:rFonts w:hint="eastAsia" w:ascii="宋体" w:hAnsi="宋体" w:eastAsia="宋体" w:cs="宋体"/>
          <w:color w:val="000000"/>
          <w:kern w:val="2"/>
          <w:sz w:val="44"/>
          <w:szCs w:val="44"/>
          <w:lang w:val="en-US" w:eastAsia="zh-CN" w:bidi="ar"/>
        </w:rPr>
        <w:t>晋中市</w:t>
      </w:r>
      <w:bookmarkStart w:id="0" w:name="0"/>
      <w:bookmarkEnd w:id="0"/>
      <w:r>
        <w:rPr>
          <w:rFonts w:hint="eastAsia" w:ascii="宋体" w:hAnsi="宋体" w:eastAsia="宋体" w:cs="宋体"/>
          <w:color w:val="000000"/>
          <w:kern w:val="2"/>
          <w:sz w:val="44"/>
          <w:szCs w:val="44"/>
          <w:lang w:val="en-US" w:eastAsia="zh-CN" w:bidi="ar"/>
        </w:rPr>
        <w:t>燃煤污染防治条例</w:t>
      </w:r>
    </w:p>
    <w:p>
      <w:pPr>
        <w:keepNext w:val="0"/>
        <w:keepLines w:val="0"/>
        <w:widowControl w:val="0"/>
        <w:suppressLineNumbers w:val="0"/>
        <w:spacing w:before="0" w:beforeAutospacing="0" w:after="0" w:afterAutospacing="0" w:line="360" w:lineRule="auto"/>
        <w:ind w:left="0" w:right="0"/>
        <w:jc w:val="left"/>
        <w:rPr>
          <w:rFonts w:hint="eastAsia" w:ascii="楷体_GB2312" w:hAnsi="楷体_GB2312" w:eastAsia="楷体_GB2312" w:cs="楷体_GB2312"/>
          <w:b/>
          <w:kern w:val="0"/>
          <w:sz w:val="32"/>
          <w:szCs w:val="32"/>
          <w:lang w:val="en-US"/>
        </w:rPr>
      </w:pP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bidi="ar"/>
        </w:rPr>
        <w:t>（2018年10月31日晋中市第四届人民代表大会常务</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bidi="ar"/>
        </w:rPr>
        <w:t>委员会第二十次会议通过  2018年11月30日山西省</w:t>
      </w:r>
    </w:p>
    <w:p>
      <w:pPr>
        <w:keepNext w:val="0"/>
        <w:keepLines w:val="0"/>
        <w:widowControl w:val="0"/>
        <w:suppressLineNumbers w:val="0"/>
        <w:spacing w:before="0" w:beforeAutospacing="0" w:after="0" w:afterAutospacing="0" w:line="580" w:lineRule="exact"/>
        <w:ind w:left="0" w:right="0" w:firstLine="640" w:firstLineChars="200"/>
        <w:jc w:val="both"/>
        <w:rPr>
          <w:rFonts w:hint="eastAsia" w:ascii="楷体_GB2312" w:hAnsi="楷体_GB2312" w:eastAsia="楷体_GB2312" w:cs="楷体_GB2312"/>
          <w:kern w:val="0"/>
          <w:sz w:val="32"/>
          <w:szCs w:val="32"/>
          <w:lang w:val="en-US"/>
        </w:rPr>
      </w:pPr>
      <w:r>
        <w:rPr>
          <w:rFonts w:hint="eastAsia" w:ascii="楷体_GB2312" w:hAnsi="楷体_GB2312" w:eastAsia="楷体_GB2312" w:cs="楷体_GB2312"/>
          <w:kern w:val="0"/>
          <w:sz w:val="32"/>
          <w:szCs w:val="32"/>
          <w:lang w:val="en-US" w:eastAsia="zh-CN" w:bidi="ar"/>
        </w:rPr>
        <w:t>第十三届人民代表大会常务委员会第七次会议批准）</w:t>
      </w:r>
    </w:p>
    <w:p>
      <w:pPr>
        <w:keepNext w:val="0"/>
        <w:keepLines w:val="0"/>
        <w:widowControl/>
        <w:suppressLineNumbers w:val="0"/>
        <w:spacing w:before="0" w:beforeAutospacing="0" w:after="0" w:afterAutospacing="0" w:line="498" w:lineRule="exact"/>
        <w:ind w:left="0" w:right="0"/>
        <w:jc w:val="left"/>
        <w:rPr>
          <w:rFonts w:hint="eastAsia" w:ascii="黑体" w:hAnsi="宋体" w:eastAsia="黑体" w:cs="黑体"/>
          <w:sz w:val="32"/>
          <w:szCs w:val="32"/>
          <w:lang w:val="en-US"/>
        </w:rPr>
      </w:pPr>
      <w:bookmarkStart w:id="1" w:name="_Toc475516919"/>
    </w:p>
    <w:p>
      <w:pPr>
        <w:keepNext w:val="0"/>
        <w:keepLines w:val="0"/>
        <w:widowControl/>
        <w:suppressLineNumbers w:val="0"/>
        <w:spacing w:before="0" w:beforeAutospacing="0" w:after="0" w:afterAutospacing="0" w:line="498" w:lineRule="exact"/>
        <w:ind w:left="0" w:right="0"/>
        <w:jc w:val="left"/>
        <w:rPr>
          <w:rFonts w:hint="eastAsia" w:ascii="黑体" w:hAnsi="宋体" w:eastAsia="黑体" w:cs="黑体"/>
          <w:sz w:val="32"/>
          <w:szCs w:val="32"/>
          <w:lang w:val="en-US"/>
        </w:rPr>
      </w:pPr>
    </w:p>
    <w:bookmarkEnd w:id="1"/>
    <w:p>
      <w:pPr>
        <w:keepNext w:val="0"/>
        <w:keepLines w:val="0"/>
        <w:widowControl w:val="0"/>
        <w:suppressLineNumbers w:val="0"/>
        <w:spacing w:before="0" w:beforeAutospacing="0" w:after="0" w:afterAutospacing="0" w:line="560" w:lineRule="exact"/>
        <w:ind w:left="0" w:right="0"/>
        <w:jc w:val="center"/>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_GB2312" w:hAnsi="仿宋" w:eastAsia="楷体_GB2312" w:cs="楷体_GB2312"/>
          <w:sz w:val="32"/>
          <w:szCs w:val="32"/>
          <w:lang w:val="en-US"/>
        </w:rPr>
      </w:pPr>
      <w:r>
        <w:rPr>
          <w:rFonts w:hint="eastAsia" w:ascii="楷体_GB2312" w:hAnsi="仿宋" w:eastAsia="楷体_GB2312" w:cs="仿宋"/>
          <w:kern w:val="2"/>
          <w:sz w:val="32"/>
          <w:szCs w:val="32"/>
          <w:lang w:val="en-US" w:eastAsia="zh-CN" w:bidi="ar"/>
        </w:rPr>
        <w:t>第一章  总则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_GB2312" w:hAnsi="仿宋" w:eastAsia="楷体_GB2312" w:cs="楷体_GB2312"/>
          <w:sz w:val="32"/>
          <w:szCs w:val="32"/>
          <w:lang w:val="en-US"/>
        </w:rPr>
      </w:pPr>
      <w:r>
        <w:rPr>
          <w:rFonts w:hint="eastAsia" w:ascii="楷体_GB2312" w:hAnsi="仿宋" w:eastAsia="楷体_GB2312" w:cs="仿宋"/>
          <w:kern w:val="2"/>
          <w:sz w:val="32"/>
          <w:szCs w:val="32"/>
          <w:lang w:val="en-US" w:eastAsia="zh-CN" w:bidi="ar"/>
        </w:rPr>
        <w:t>第二章  防治措施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_GB2312" w:hAnsi="仿宋" w:eastAsia="楷体_GB2312" w:cs="楷体_GB2312"/>
          <w:sz w:val="32"/>
          <w:szCs w:val="32"/>
          <w:lang w:val="en-US"/>
        </w:rPr>
      </w:pPr>
      <w:r>
        <w:rPr>
          <w:rFonts w:hint="eastAsia" w:ascii="楷体_GB2312" w:hAnsi="仿宋" w:eastAsia="楷体_GB2312" w:cs="仿宋"/>
          <w:kern w:val="2"/>
          <w:sz w:val="32"/>
          <w:szCs w:val="32"/>
          <w:lang w:val="en-US" w:eastAsia="zh-CN" w:bidi="ar"/>
        </w:rPr>
        <w:t>第三章  法律责任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_GB2312" w:hAnsi="仿宋" w:eastAsia="楷体_GB2312" w:cs="楷体_GB2312"/>
          <w:sz w:val="32"/>
          <w:szCs w:val="32"/>
          <w:lang w:val="en-US"/>
        </w:rPr>
      </w:pPr>
      <w:r>
        <w:rPr>
          <w:rFonts w:hint="eastAsia" w:ascii="楷体_GB2312" w:hAnsi="仿宋" w:eastAsia="楷体_GB2312" w:cs="仿宋"/>
          <w:kern w:val="2"/>
          <w:sz w:val="32"/>
          <w:szCs w:val="32"/>
          <w:lang w:val="en-US" w:eastAsia="zh-CN" w:bidi="ar"/>
        </w:rPr>
        <w:t>第四章  附则</w:t>
      </w:r>
    </w:p>
    <w:p>
      <w:pPr>
        <w:keepNext w:val="0"/>
        <w:keepLines w:val="0"/>
        <w:widowControl w:val="0"/>
        <w:suppressLineNumbers w:val="0"/>
        <w:spacing w:before="0" w:beforeAutospacing="0" w:after="0" w:afterAutospacing="0" w:line="560" w:lineRule="exact"/>
        <w:ind w:left="0" w:right="0"/>
        <w:jc w:val="both"/>
        <w:rPr>
          <w:rFonts w:hint="eastAsia" w:ascii="黑体" w:hAnsi="宋体" w:eastAsia="黑体" w:cs="黑体"/>
          <w:sz w:val="32"/>
          <w:szCs w:val="32"/>
          <w:lang w:val="en-US"/>
        </w:rPr>
      </w:pPr>
    </w:p>
    <w:p>
      <w:pPr>
        <w:keepNext w:val="0"/>
        <w:keepLines w:val="0"/>
        <w:widowControl w:val="0"/>
        <w:suppressLineNumbers w:val="0"/>
        <w:spacing w:before="0" w:beforeAutospacing="0" w:after="0" w:afterAutospacing="0" w:line="600" w:lineRule="exact"/>
        <w:ind w:left="0" w:right="0"/>
        <w:jc w:val="center"/>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第一章  总  则</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_GB2312"/>
          <w:sz w:val="32"/>
          <w:szCs w:val="32"/>
          <w:lang w:val="en-US"/>
        </w:rPr>
      </w:pPr>
      <w:r>
        <w:rPr>
          <w:rFonts w:hint="eastAsia" w:ascii="黑体" w:hAnsi="宋体" w:eastAsia="黑体" w:cs="仿宋"/>
          <w:kern w:val="2"/>
          <w:sz w:val="32"/>
          <w:szCs w:val="32"/>
          <w:lang w:val="en-US" w:eastAsia="zh-CN" w:bidi="ar"/>
        </w:rPr>
        <w:t xml:space="preserve">第一条 </w:t>
      </w:r>
      <w:r>
        <w:rPr>
          <w:rFonts w:hint="eastAsia" w:ascii="仿宋_GB2312" w:hAnsi="仿宋" w:eastAsia="仿宋_GB2312" w:cs="仿宋"/>
          <w:kern w:val="2"/>
          <w:sz w:val="32"/>
          <w:szCs w:val="32"/>
          <w:lang w:val="en-US" w:eastAsia="zh-CN" w:bidi="ar"/>
        </w:rPr>
        <w:t xml:space="preserve"> 为了防治燃煤污染，改善大气环境质量，根据《中华人民共和国环境保护法》《中华人民共和国大气污染防治法》等有关法律、法规的规定，结合本市实际，制定本条例。</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第二条</w:t>
      </w:r>
      <w:r>
        <w:rPr>
          <w:rFonts w:hint="eastAsia" w:ascii="仿宋_GB2312" w:hAnsi="仿宋" w:eastAsia="仿宋_GB2312" w:cs="仿宋"/>
          <w:kern w:val="2"/>
          <w:sz w:val="32"/>
          <w:szCs w:val="32"/>
          <w:lang w:val="en-US" w:eastAsia="zh-CN" w:bidi="ar"/>
        </w:rPr>
        <w:t xml:space="preserve">  本市行政区域内燃煤污染防治及其监督管理活动适用本条例。</w:t>
      </w:r>
    </w:p>
    <w:p>
      <w:pPr>
        <w:rPr>
          <w:rFonts w:hint="eastAsia" w:ascii="黑体" w:hAnsi="宋体" w:eastAsia="黑体" w:cs="仿宋"/>
          <w:kern w:val="2"/>
          <w:sz w:val="32"/>
          <w:szCs w:val="32"/>
          <w:lang w:val="en-US" w:eastAsia="zh-CN"/>
        </w:rPr>
        <w:sectPr>
          <w:footerReference r:id="rId3" w:type="default"/>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_GB2312"/>
          <w:sz w:val="32"/>
          <w:szCs w:val="32"/>
          <w:lang w:val="en-US"/>
        </w:rPr>
      </w:pPr>
      <w:r>
        <w:rPr>
          <w:rFonts w:hint="eastAsia" w:ascii="黑体" w:hAnsi="宋体" w:eastAsia="黑体" w:cs="仿宋"/>
          <w:kern w:val="2"/>
          <w:sz w:val="32"/>
          <w:szCs w:val="32"/>
          <w:lang w:val="en-US" w:eastAsia="zh-CN" w:bidi="ar"/>
        </w:rPr>
        <w:t>第三条</w:t>
      </w:r>
      <w:r>
        <w:rPr>
          <w:rFonts w:hint="eastAsia" w:ascii="仿宋_GB2312" w:hAnsi="仿宋" w:eastAsia="仿宋_GB2312" w:cs="仿宋"/>
          <w:kern w:val="2"/>
          <w:sz w:val="32"/>
          <w:szCs w:val="32"/>
          <w:lang w:val="en-US" w:eastAsia="zh-CN" w:bidi="ar"/>
        </w:rPr>
        <w:t xml:space="preserve">  燃煤污染防治坚持政府主导、社会参与、防治结合、综合治理、保障民生的原则。</w:t>
      </w:r>
    </w:p>
    <w:p>
      <w:pPr>
        <w:keepNext w:val="0"/>
        <w:keepLines w:val="0"/>
        <w:widowControl w:val="0"/>
        <w:suppressLineNumbers w:val="0"/>
        <w:spacing w:before="0" w:beforeAutospacing="0" w:after="0" w:afterAutospacing="0" w:line="600" w:lineRule="exact"/>
        <w:ind w:left="0" w:right="0" w:firstLine="707" w:firstLineChars="221"/>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第四条</w:t>
      </w:r>
      <w:r>
        <w:rPr>
          <w:rFonts w:hint="eastAsia" w:ascii="仿宋_GB2312" w:hAnsi="仿宋" w:eastAsia="仿宋_GB2312" w:cs="仿宋"/>
          <w:kern w:val="2"/>
          <w:sz w:val="32"/>
          <w:szCs w:val="32"/>
          <w:lang w:val="en-US" w:eastAsia="zh-CN" w:bidi="ar"/>
        </w:rPr>
        <w:t xml:space="preserve">  市人民政府对全市燃煤污染防治工作负总责。县（市、区）人民政府对本行政区域内燃煤污染防治工作负责。</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市、县（市、区）人民政府生态环境主管部门对燃煤污染防治实施统一监督管理。市、县（市、区）人民政府发展和改革、工业和信息化、城市管理、能源管理、市场监督管理、交通运输、公安交通管理、供热主管等部门</w:t>
      </w:r>
      <w:r>
        <w:rPr>
          <w:rFonts w:hint="eastAsia" w:ascii="仿宋_GB2312" w:hAnsi="Times New Roman" w:eastAsia="仿宋_GB2312" w:cs="仿宋_GB2312"/>
          <w:kern w:val="2"/>
          <w:sz w:val="32"/>
          <w:szCs w:val="32"/>
          <w:lang w:val="en-US" w:eastAsia="zh-CN" w:bidi="ar"/>
        </w:rPr>
        <w:t>在各自职责范围内对燃煤污染防治实施监督管理</w:t>
      </w:r>
      <w:r>
        <w:rPr>
          <w:rFonts w:hint="eastAsia" w:ascii="仿宋_GB2312" w:hAnsi="仿宋" w:eastAsia="仿宋_GB2312" w:cs="仿宋"/>
          <w:kern w:val="2"/>
          <w:sz w:val="32"/>
          <w:szCs w:val="32"/>
          <w:lang w:val="en-US" w:eastAsia="zh-CN" w:bidi="ar"/>
        </w:rPr>
        <w:t>。</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乡（镇）人民政府、街道办事处和各级各类开发区按照市、县（市、区）人民政府和有关部门的工作安排，做好燃煤污染防治相关工作。基层群众性自治组织应当协助做好燃煤污染防治相关工作。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第五条</w:t>
      </w:r>
      <w:r>
        <w:rPr>
          <w:rFonts w:hint="eastAsia" w:ascii="仿宋_GB2312" w:hAnsi="仿宋" w:eastAsia="仿宋_GB2312" w:cs="仿宋"/>
          <w:kern w:val="2"/>
          <w:sz w:val="32"/>
          <w:szCs w:val="32"/>
          <w:lang w:val="en-US" w:eastAsia="zh-CN" w:bidi="ar"/>
        </w:rPr>
        <w:t xml:space="preserve">  煤炭及其制品生产、加工、储运、购销、使用单位和个人应当依法履行燃煤污染防治义务，共同保护大气环境质量。</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 xml:space="preserve">第六条 </w:t>
      </w:r>
      <w:r>
        <w:rPr>
          <w:rFonts w:hint="eastAsia" w:ascii="仿宋_GB2312" w:hAnsi="仿宋" w:eastAsia="仿宋_GB2312" w:cs="仿宋"/>
          <w:kern w:val="2"/>
          <w:sz w:val="32"/>
          <w:szCs w:val="32"/>
          <w:lang w:val="en-US" w:eastAsia="zh-CN" w:bidi="ar"/>
        </w:rPr>
        <w:t xml:space="preserve"> 相关行业协会应当加强业内自律管理，协助监督管理部门做好燃煤污染防治工作。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第七条</w:t>
      </w:r>
      <w:r>
        <w:rPr>
          <w:rFonts w:hint="eastAsia" w:ascii="仿宋_GB2312" w:hAnsi="仿宋" w:eastAsia="仿宋_GB2312" w:cs="仿宋"/>
          <w:kern w:val="2"/>
          <w:sz w:val="32"/>
          <w:szCs w:val="32"/>
          <w:lang w:val="en-US" w:eastAsia="zh-CN" w:bidi="ar"/>
        </w:rPr>
        <w:t xml:space="preserve">  广播、电视、报刊、网络等媒体应当开展燃煤污染防治公益性宣传，增强公众燃煤污染防治意识。</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第八条</w:t>
      </w:r>
      <w:r>
        <w:rPr>
          <w:rFonts w:hint="eastAsia" w:ascii="仿宋_GB2312" w:hAnsi="仿宋" w:eastAsia="仿宋_GB2312" w:cs="仿宋"/>
          <w:kern w:val="2"/>
          <w:sz w:val="32"/>
          <w:szCs w:val="32"/>
          <w:lang w:val="en-US" w:eastAsia="zh-CN" w:bidi="ar"/>
        </w:rPr>
        <w:t xml:space="preserve">  市、县（市、区）人民政府应当将燃煤污染防治</w:t>
      </w:r>
    </w:p>
    <w:p>
      <w:pPr>
        <w:rPr>
          <w:rFonts w:hint="eastAsia" w:ascii="仿宋_GB2312" w:hAnsi="仿宋" w:eastAsia="仿宋_GB2312" w:cs="仿宋"/>
          <w:kern w:val="2"/>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纳入大气污染防治目标责任制，完善考核评价制度并严格考核，考核结果向社会公开。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第九条</w:t>
      </w:r>
      <w:r>
        <w:rPr>
          <w:rFonts w:hint="eastAsia" w:ascii="仿宋_GB2312" w:hAnsi="仿宋" w:eastAsia="仿宋_GB2312" w:cs="仿宋"/>
          <w:kern w:val="2"/>
          <w:sz w:val="32"/>
          <w:szCs w:val="32"/>
          <w:lang w:val="en-US" w:eastAsia="zh-CN" w:bidi="ar"/>
        </w:rPr>
        <w:t xml:space="preserve">  市、县（市、区）人民政府每年向本级人民代表大会或者其常务委员会报告环境状况和环境保护目标完成情况时，应当报告燃煤污染防治情况，并向社会公开。</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kern w:val="0"/>
          <w:sz w:val="32"/>
          <w:szCs w:val="32"/>
          <w:lang w:val="en-US"/>
        </w:rPr>
      </w:pPr>
      <w:r>
        <w:rPr>
          <w:rFonts w:hint="eastAsia" w:ascii="黑体" w:hAnsi="宋体" w:eastAsia="黑体" w:cs="仿宋"/>
          <w:kern w:val="2"/>
          <w:sz w:val="32"/>
          <w:szCs w:val="32"/>
          <w:lang w:val="en-US" w:eastAsia="zh-CN" w:bidi="ar"/>
        </w:rPr>
        <w:t>第十条</w:t>
      </w:r>
      <w:r>
        <w:rPr>
          <w:rFonts w:hint="eastAsia" w:ascii="仿宋_GB2312" w:hAnsi="仿宋" w:eastAsia="仿宋_GB2312" w:cs="仿宋"/>
          <w:kern w:val="2"/>
          <w:sz w:val="32"/>
          <w:szCs w:val="32"/>
          <w:lang w:val="en-US" w:eastAsia="zh-CN" w:bidi="ar"/>
        </w:rPr>
        <w:t xml:space="preserve">  任何单位和个人有权举报燃煤污染违法行为。生态环境主管部门和其他负有燃煤污染防治监督管理职责的部门接到举报的，应当及时处理并对举报人的相关信息予以保密；对实名举报的，应当反馈处理结果等情况，查证属实的，处理结果依法向社会公开，并对举报人给予奖励。</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p>
    <w:p>
      <w:pPr>
        <w:keepNext w:val="0"/>
        <w:keepLines w:val="0"/>
        <w:widowControl w:val="0"/>
        <w:suppressLineNumbers w:val="0"/>
        <w:spacing w:before="0" w:beforeAutospacing="0" w:after="0" w:afterAutospacing="0" w:line="600" w:lineRule="exact"/>
        <w:ind w:left="0" w:right="0"/>
        <w:jc w:val="center"/>
        <w:rPr>
          <w:rFonts w:hint="eastAsia" w:ascii="黑体" w:hAnsi="宋体" w:eastAsia="黑体" w:cs="仿宋"/>
          <w:sz w:val="32"/>
          <w:szCs w:val="32"/>
          <w:lang w:val="en-US"/>
        </w:rPr>
      </w:pPr>
      <w:r>
        <w:rPr>
          <w:rFonts w:hint="eastAsia" w:ascii="黑体" w:hAnsi="宋体" w:eastAsia="黑体" w:cs="仿宋"/>
          <w:kern w:val="2"/>
          <w:sz w:val="32"/>
          <w:szCs w:val="32"/>
          <w:lang w:val="en-US" w:eastAsia="zh-CN" w:bidi="ar"/>
        </w:rPr>
        <w:t>第二章  防治措施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第十一条</w:t>
      </w:r>
      <w:r>
        <w:rPr>
          <w:rFonts w:hint="eastAsia" w:ascii="仿宋_GB2312" w:hAnsi="仿宋" w:eastAsia="仿宋_GB2312" w:cs="仿宋"/>
          <w:kern w:val="2"/>
          <w:sz w:val="32"/>
          <w:szCs w:val="32"/>
          <w:lang w:val="en-US" w:eastAsia="zh-CN" w:bidi="ar"/>
        </w:rPr>
        <w:t xml:space="preserve">  市人民政府应当按照省人民政府要求及本市环境保护需要确定燃煤总量控制目标，制定燃煤削减和清洁能源改造计划并组织实施，降低煤炭在一次能源消费结构中的比重。</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县（市、区）人民政府应当按照市人民政府下达的燃煤削减和清洁能源改造计划，制定本行政区域的燃煤消费总量控制方案并组织实施。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 xml:space="preserve">第十二条 </w:t>
      </w:r>
      <w:r>
        <w:rPr>
          <w:rFonts w:hint="eastAsia" w:ascii="仿宋_GB2312" w:hAnsi="仿宋" w:eastAsia="仿宋_GB2312" w:cs="仿宋"/>
          <w:kern w:val="2"/>
          <w:sz w:val="32"/>
          <w:szCs w:val="32"/>
          <w:lang w:val="en-US" w:eastAsia="zh-CN" w:bidi="ar"/>
        </w:rPr>
        <w:t xml:space="preserve"> 市人民政府应当根据大气环境质量改善要求划定市建成区为禁煤区并逐渐扩展。县（市、区）人民政府应当</w:t>
      </w:r>
    </w:p>
    <w:p>
      <w:pPr>
        <w:rPr>
          <w:rFonts w:hint="eastAsia" w:ascii="仿宋_GB2312" w:hAnsi="仿宋" w:eastAsia="仿宋_GB2312" w:cs="仿宋"/>
          <w:kern w:val="2"/>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根据大气环境质量改善需要划定禁煤区。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已实现集中供热和其他清洁能源替代区域，应当纳入禁煤区范围。</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第十三条</w:t>
      </w:r>
      <w:r>
        <w:rPr>
          <w:rFonts w:hint="eastAsia" w:ascii="仿宋_GB2312" w:hAnsi="仿宋" w:eastAsia="仿宋_GB2312" w:cs="仿宋"/>
          <w:kern w:val="2"/>
          <w:sz w:val="32"/>
          <w:szCs w:val="32"/>
          <w:lang w:val="en-US" w:eastAsia="zh-CN" w:bidi="ar"/>
        </w:rPr>
        <w:t xml:space="preserve">  禁煤区内禁止任何单位和个人销售煤炭及其制品。</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禁煤区内除燃煤电厂、集中供热站和原料用煤单位外，禁止其他单位和个人燃用煤炭及其制品。</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第十四条</w:t>
      </w:r>
      <w:r>
        <w:rPr>
          <w:rFonts w:hint="eastAsia" w:ascii="仿宋_GB2312" w:hAnsi="仿宋" w:eastAsia="仿宋_GB2312" w:cs="仿宋"/>
          <w:kern w:val="2"/>
          <w:sz w:val="32"/>
          <w:szCs w:val="32"/>
          <w:lang w:val="en-US" w:eastAsia="zh-CN" w:bidi="ar"/>
        </w:rPr>
        <w:t xml:space="preserve">  除为燃煤电厂、集中供热站和原料用煤单位运输煤炭的车辆外，禁止煤炭及其制品运输车辆进入禁煤区。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禁煤区内为燃煤电厂、集中供热站和原料用煤单位运输煤炭的车辆应当向禁煤区所在地公安交通管理部门备案。</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第十五条</w:t>
      </w:r>
      <w:r>
        <w:rPr>
          <w:rFonts w:hint="eastAsia" w:ascii="仿宋_GB2312" w:hAnsi="仿宋" w:eastAsia="仿宋_GB2312" w:cs="仿宋"/>
          <w:kern w:val="2"/>
          <w:sz w:val="32"/>
          <w:szCs w:val="32"/>
          <w:lang w:val="en-US" w:eastAsia="zh-CN" w:bidi="ar"/>
        </w:rPr>
        <w:t xml:space="preserve">  禁煤区内燃煤电厂、集中供热站和原料用煤单位应当建立煤炭及其制品购销管理档案，并自采购合同签订或者变更之日起十五日内，将采购数量和煤质信息报送所在地县级人民政府能源主管部门。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报送的信息应当全面真实准确，不得弄虚作假。</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第十六条</w:t>
      </w:r>
      <w:r>
        <w:rPr>
          <w:rFonts w:hint="eastAsia" w:ascii="仿宋_GB2312" w:hAnsi="仿宋" w:eastAsia="仿宋_GB2312" w:cs="仿宋"/>
          <w:kern w:val="2"/>
          <w:sz w:val="32"/>
          <w:szCs w:val="32"/>
          <w:lang w:val="en-US" w:eastAsia="zh-CN" w:bidi="ar"/>
        </w:rPr>
        <w:t xml:space="preserve">  市、县（市、区）人民政府应当因地制宜推进本行政区域内集中供热、煤改电、煤改气等清洁能源替代燃煤工作。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鼓励乡镇、农村推广应用清洁能源生活炉灶。</w:t>
      </w:r>
    </w:p>
    <w:p>
      <w:pPr>
        <w:keepNext w:val="0"/>
        <w:keepLines w:val="0"/>
        <w:widowControl w:val="0"/>
        <w:suppressLineNumbers w:val="0"/>
        <w:spacing w:before="0" w:beforeAutospacing="0" w:after="0" w:afterAutospacing="0" w:line="600" w:lineRule="exact"/>
        <w:ind w:left="0" w:right="0"/>
        <w:jc w:val="both"/>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 xml:space="preserve">    </w:t>
      </w:r>
      <w:r>
        <w:rPr>
          <w:rFonts w:hint="eastAsia" w:ascii="黑体" w:hAnsi="宋体" w:eastAsia="黑体" w:cs="仿宋"/>
          <w:kern w:val="2"/>
          <w:sz w:val="32"/>
          <w:szCs w:val="32"/>
          <w:lang w:val="en-US" w:eastAsia="zh-CN" w:bidi="ar"/>
        </w:rPr>
        <w:t>第十七条</w:t>
      </w:r>
      <w:r>
        <w:rPr>
          <w:rFonts w:hint="eastAsia" w:ascii="仿宋_GB2312" w:hAnsi="仿宋" w:eastAsia="仿宋_GB2312" w:cs="仿宋"/>
          <w:kern w:val="2"/>
          <w:sz w:val="32"/>
          <w:szCs w:val="32"/>
          <w:lang w:val="en-US" w:eastAsia="zh-CN" w:bidi="ar"/>
        </w:rPr>
        <w:t xml:space="preserve">  </w:t>
      </w:r>
      <w:r>
        <w:rPr>
          <w:rFonts w:hint="eastAsia" w:ascii="仿宋_GB2312" w:hAnsi="宋体" w:eastAsia="仿宋_GB2312" w:cs="宋体"/>
          <w:kern w:val="0"/>
          <w:sz w:val="32"/>
          <w:szCs w:val="32"/>
          <w:lang w:val="en-US" w:eastAsia="zh-CN" w:bidi="ar"/>
        </w:rPr>
        <w:t>市、县（市、区）人民政府应当限制高硫分、</w:t>
      </w:r>
    </w:p>
    <w:p>
      <w:pPr>
        <w:rPr>
          <w:rFonts w:hint="eastAsia" w:ascii="仿宋_GB2312" w:hAnsi="宋体" w:eastAsia="仿宋_GB2312" w:cs="宋体"/>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
        </w:rPr>
        <w:t>高灰分煤炭开采。新建煤矿应当同步配套建设煤炭洗选设施。已建成的煤矿所采煤炭属于低硫分、低灰分或者根据已达标排放的用户要求不需要洗选的以外，应当限期建成配套的煤炭洗选设施。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第十八条</w:t>
      </w:r>
      <w:r>
        <w:rPr>
          <w:rFonts w:hint="eastAsia" w:ascii="仿宋_GB2312" w:hAnsi="仿宋" w:eastAsia="仿宋_GB2312" w:cs="仿宋"/>
          <w:kern w:val="2"/>
          <w:sz w:val="32"/>
          <w:szCs w:val="32"/>
          <w:lang w:val="en-US" w:eastAsia="zh-CN" w:bidi="ar"/>
        </w:rPr>
        <w:t xml:space="preserve">  本行政区域内禁止销售、燃用不符合民用散煤质量标准的煤炭及其制品。</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市人民政府能源主管部门应当向社会公布燃煤质量标准。</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第十九条</w:t>
      </w:r>
      <w:r>
        <w:rPr>
          <w:rFonts w:hint="eastAsia" w:ascii="仿宋_GB2312" w:hAnsi="仿宋" w:eastAsia="仿宋_GB2312" w:cs="仿宋"/>
          <w:kern w:val="2"/>
          <w:sz w:val="32"/>
          <w:szCs w:val="32"/>
          <w:lang w:val="en-US" w:eastAsia="zh-CN" w:bidi="ar"/>
        </w:rPr>
        <w:t xml:space="preserve">  市、县（市、区）人民政府应当加强禁煤区以外区域的民用散煤管理，确定清洁煤炭供应企业，建立完善民用清洁燃料煤炭采购、储存、供应机制，保障清洁煤炭供应。</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宋体" w:eastAsia="仿宋_GB2312" w:cs="宋体"/>
          <w:kern w:val="0"/>
          <w:sz w:val="32"/>
          <w:szCs w:val="32"/>
          <w:lang w:val="en-US"/>
        </w:rPr>
      </w:pPr>
      <w:r>
        <w:rPr>
          <w:rFonts w:hint="eastAsia" w:ascii="黑体" w:hAnsi="宋体" w:eastAsia="黑体" w:cs="仿宋"/>
          <w:kern w:val="2"/>
          <w:sz w:val="32"/>
          <w:szCs w:val="32"/>
          <w:lang w:val="en-US" w:eastAsia="zh-CN" w:bidi="ar"/>
        </w:rPr>
        <w:t xml:space="preserve">第二十条 </w:t>
      </w:r>
      <w:r>
        <w:rPr>
          <w:rFonts w:hint="eastAsia" w:ascii="仿宋_GB2312" w:hAnsi="宋体" w:eastAsia="仿宋_GB2312" w:cs="宋体"/>
          <w:kern w:val="0"/>
          <w:sz w:val="32"/>
          <w:szCs w:val="32"/>
          <w:lang w:val="en-US" w:eastAsia="zh-CN" w:bidi="ar"/>
        </w:rPr>
        <w:t xml:space="preserve"> 市、县（市、区）人民政府市场监督管理部门应当将燃煤纳入年度抽检计划加强燃煤质量监督检查，并向社会公开检查结果。</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第二十一条</w:t>
      </w:r>
      <w:r>
        <w:rPr>
          <w:rFonts w:hint="eastAsia" w:ascii="仿宋_GB2312" w:hAnsi="仿宋" w:eastAsia="仿宋_GB2312" w:cs="仿宋"/>
          <w:kern w:val="2"/>
          <w:sz w:val="32"/>
          <w:szCs w:val="32"/>
          <w:lang w:val="en-US" w:eastAsia="zh-CN" w:bidi="ar"/>
        </w:rPr>
        <w:t xml:space="preserve">  燃煤电厂、集中供热站和原料用煤单位使用的锅炉单台出力和窑炉生产工艺应当符合国家和地方规定标准或政策要求。</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禁煤区内，禁止新建、扩建燃用高污染燃料设施。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任何单位和个人不得生产、进口、销售、使用不符合环境保护标准的锅炉、窑炉。</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第二十二条</w:t>
      </w:r>
      <w:r>
        <w:rPr>
          <w:rFonts w:hint="eastAsia" w:ascii="仿宋_GB2312" w:hAnsi="仿宋" w:eastAsia="仿宋_GB2312" w:cs="仿宋"/>
          <w:kern w:val="2"/>
          <w:sz w:val="32"/>
          <w:szCs w:val="32"/>
          <w:lang w:val="en-US" w:eastAsia="zh-CN" w:bidi="ar"/>
        </w:rPr>
        <w:t xml:space="preserve">  燃煤使用单位应当配套建设大气污染防治设施设备并保持正常稳定运行，污染物排放应当达到国家和地方</w:t>
      </w:r>
    </w:p>
    <w:p>
      <w:pPr>
        <w:rPr>
          <w:rFonts w:hint="eastAsia" w:ascii="仿宋_GB2312" w:hAnsi="仿宋" w:eastAsia="仿宋_GB2312" w:cs="仿宋"/>
          <w:kern w:val="2"/>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规定的标准。鼓励燃煤使用单位按照环保要求实施超低排放改造。</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第二十三条</w:t>
      </w:r>
      <w:r>
        <w:rPr>
          <w:rFonts w:hint="eastAsia" w:ascii="仿宋_GB2312" w:hAnsi="仿宋" w:eastAsia="仿宋_GB2312" w:cs="仿宋"/>
          <w:kern w:val="2"/>
          <w:sz w:val="32"/>
          <w:szCs w:val="32"/>
          <w:lang w:val="en-US" w:eastAsia="zh-CN" w:bidi="ar"/>
        </w:rPr>
        <w:t xml:space="preserve">  运输煤炭及其制品的车辆应当使用封闭货厢或者采用其他方式封盖严密，防止遗撒和造成扬尘污染。</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第二十四条</w:t>
      </w:r>
      <w:r>
        <w:rPr>
          <w:rFonts w:hint="eastAsia" w:ascii="仿宋_GB2312" w:hAnsi="仿宋" w:eastAsia="仿宋_GB2312" w:cs="仿宋"/>
          <w:kern w:val="2"/>
          <w:sz w:val="32"/>
          <w:szCs w:val="32"/>
          <w:lang w:val="en-US" w:eastAsia="zh-CN" w:bidi="ar"/>
        </w:rPr>
        <w:t xml:space="preserve">  煤炭、煤矸石、煤渣、煤灰等物料堆场，应当采取防燃、全密闭抑尘措施，防止大气污染。煤矸石堆场应当采取分层压实、密封防渗、覆土绿化等防燃、防尘措施。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第二十五条</w:t>
      </w:r>
      <w:r>
        <w:rPr>
          <w:rFonts w:hint="eastAsia" w:ascii="仿宋_GB2312" w:hAnsi="仿宋" w:eastAsia="仿宋_GB2312" w:cs="仿宋"/>
          <w:kern w:val="2"/>
          <w:sz w:val="32"/>
          <w:szCs w:val="32"/>
          <w:lang w:val="en-US" w:eastAsia="zh-CN" w:bidi="ar"/>
        </w:rPr>
        <w:t xml:space="preserve">  市人民政府应当建立二氧化硫污染物浓度预警机制，确定预警等级，采取应急预防措施。</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仿宋_GB2312" w:hAnsi="仿宋" w:eastAsia="仿宋_GB2312" w:cs="仿宋"/>
          <w:kern w:val="2"/>
          <w:sz w:val="32"/>
          <w:szCs w:val="32"/>
          <w:lang w:val="en-US" w:eastAsia="zh-CN" w:bidi="ar"/>
        </w:rPr>
        <w:t>县（市、区）人民政府应当编制二氧化硫排放源清单，制定二氧化硫污染应急预案，提高二氧化硫污染精准防控能力。</w:t>
      </w:r>
    </w:p>
    <w:p>
      <w:pPr>
        <w:keepNext w:val="0"/>
        <w:keepLines w:val="0"/>
        <w:widowControl w:val="0"/>
        <w:suppressLineNumbers w:val="0"/>
        <w:spacing w:before="0" w:beforeAutospacing="0" w:after="0" w:afterAutospacing="0" w:line="600" w:lineRule="exact"/>
        <w:ind w:left="0" w:right="0"/>
        <w:jc w:val="center"/>
        <w:rPr>
          <w:rFonts w:hint="eastAsia" w:ascii="黑体" w:hAnsi="宋体" w:eastAsia="黑体" w:cs="仿宋"/>
          <w:sz w:val="32"/>
          <w:szCs w:val="32"/>
          <w:lang w:val="en-US"/>
        </w:rPr>
      </w:pPr>
    </w:p>
    <w:p>
      <w:pPr>
        <w:keepNext w:val="0"/>
        <w:keepLines w:val="0"/>
        <w:widowControl w:val="0"/>
        <w:suppressLineNumbers w:val="0"/>
        <w:spacing w:before="0" w:beforeAutospacing="0" w:after="0" w:afterAutospacing="0" w:line="600" w:lineRule="exact"/>
        <w:ind w:left="0" w:right="0"/>
        <w:jc w:val="center"/>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第三章  法律责任</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
          <w:sz w:val="32"/>
          <w:szCs w:val="32"/>
          <w:lang w:val="en-US"/>
        </w:rPr>
      </w:pPr>
      <w:r>
        <w:rPr>
          <w:rFonts w:hint="eastAsia" w:ascii="黑体" w:hAnsi="宋体" w:eastAsia="黑体" w:cs="仿宋"/>
          <w:kern w:val="2"/>
          <w:sz w:val="32"/>
          <w:szCs w:val="32"/>
          <w:lang w:val="en-US" w:eastAsia="zh-CN" w:bidi="ar"/>
        </w:rPr>
        <w:t>第二十六条</w:t>
      </w:r>
      <w:r>
        <w:rPr>
          <w:rFonts w:hint="eastAsia" w:ascii="仿宋_GB2312" w:hAnsi="Times New Roman" w:eastAsia="仿宋_GB2312" w:cs="仿宋_GB2312"/>
          <w:kern w:val="2"/>
          <w:sz w:val="32"/>
          <w:szCs w:val="32"/>
          <w:lang w:val="en-US" w:eastAsia="zh-CN" w:bidi="ar"/>
        </w:rPr>
        <w:t xml:space="preserve">  </w:t>
      </w:r>
      <w:r>
        <w:rPr>
          <w:rFonts w:hint="eastAsia" w:ascii="仿宋_GB2312" w:hAnsi="Times New Roman" w:eastAsia="仿宋_GB2312" w:cs="仿宋"/>
          <w:kern w:val="2"/>
          <w:sz w:val="32"/>
          <w:szCs w:val="32"/>
          <w:lang w:val="en-US" w:eastAsia="zh-CN" w:bidi="ar"/>
        </w:rPr>
        <w:t>违反本条例规定，法律、法规已有法律责任规定的，从其规定。</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黑体" w:hAnsi="宋体" w:eastAsia="黑体" w:cs="仿宋"/>
          <w:kern w:val="2"/>
          <w:sz w:val="32"/>
          <w:szCs w:val="32"/>
          <w:lang w:val="en-US" w:eastAsia="zh-CN" w:bidi="ar"/>
        </w:rPr>
        <w:t>第二十七条</w:t>
      </w:r>
      <w:r>
        <w:rPr>
          <w:rFonts w:hint="eastAsia" w:ascii="仿宋_GB2312" w:hAnsi="Times New Roman" w:eastAsia="仿宋_GB2312" w:cs="仿宋_GB2312"/>
          <w:kern w:val="2"/>
          <w:sz w:val="32"/>
          <w:szCs w:val="32"/>
          <w:lang w:val="en-US" w:eastAsia="zh-CN" w:bidi="ar"/>
        </w:rPr>
        <w:t xml:space="preserve">  违反本条例第十三条规定，在禁煤区内销售、燃用煤炭及其制品的，由市场监督管理部门责令改正，没收原材料、产品和违法所得，并处货值金额一倍以上三倍以下的罚款。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Times New Roman" w:eastAsia="仿宋_GB2312" w:cs="仿宋_GB2312"/>
          <w:sz w:val="32"/>
          <w:szCs w:val="32"/>
          <w:lang w:val="en-US"/>
        </w:rPr>
      </w:pPr>
      <w:r>
        <w:rPr>
          <w:rFonts w:hint="eastAsia" w:ascii="黑体" w:hAnsi="宋体" w:eastAsia="黑体" w:cs="仿宋"/>
          <w:kern w:val="2"/>
          <w:sz w:val="32"/>
          <w:szCs w:val="32"/>
          <w:lang w:val="en-US" w:eastAsia="zh-CN" w:bidi="ar"/>
        </w:rPr>
        <w:t>第二十八条</w:t>
      </w:r>
      <w:r>
        <w:rPr>
          <w:rFonts w:hint="eastAsia" w:ascii="仿宋_GB2312" w:hAnsi="Times New Roman" w:eastAsia="仿宋_GB2312" w:cs="仿宋_GB2312"/>
          <w:kern w:val="2"/>
          <w:sz w:val="32"/>
          <w:szCs w:val="32"/>
          <w:lang w:val="en-US" w:eastAsia="zh-CN" w:bidi="ar"/>
        </w:rPr>
        <w:t xml:space="preserve">  违反本条例第十四条第一款规定，运输煤炭</w:t>
      </w:r>
    </w:p>
    <w:p>
      <w:pPr>
        <w:rPr>
          <w:rFonts w:hint="eastAsia" w:ascii="仿宋_GB2312" w:hAnsi="Times New Roman" w:eastAsia="仿宋_GB2312" w:cs="仿宋_GB2312"/>
          <w:kern w:val="2"/>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及其制品的车辆进入禁煤区的，由公安交通管理部门处警告或者二百元以下的罚款。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楷体_GB2312" w:eastAsia="楷体_GB2312" w:cs="仿宋_GB2312"/>
          <w:sz w:val="32"/>
          <w:szCs w:val="32"/>
          <w:lang w:val="en-US"/>
        </w:rPr>
      </w:pPr>
      <w:r>
        <w:rPr>
          <w:rFonts w:hint="eastAsia" w:ascii="黑体" w:hAnsi="宋体" w:eastAsia="黑体" w:cs="仿宋"/>
          <w:kern w:val="2"/>
          <w:sz w:val="32"/>
          <w:szCs w:val="32"/>
          <w:lang w:val="en-US" w:eastAsia="zh-CN" w:bidi="ar"/>
        </w:rPr>
        <w:t>第二十九条</w:t>
      </w:r>
      <w:r>
        <w:rPr>
          <w:rFonts w:hint="eastAsia" w:ascii="仿宋_GB2312" w:hAnsi="Times New Roman" w:eastAsia="仿宋_GB2312" w:cs="仿宋_GB2312"/>
          <w:kern w:val="2"/>
          <w:sz w:val="32"/>
          <w:szCs w:val="32"/>
          <w:lang w:val="en-US" w:eastAsia="zh-CN" w:bidi="ar"/>
        </w:rPr>
        <w:t xml:space="preserve">  违反本条例第十五条规定，禁煤区内燃煤电厂、集中供热站和原料用煤单位未报送煤炭采购数量和煤质信息或者报送信息不真实的，由能源主管部门责令限期改正，逾期不改的，列入违法失信名单并向社会公示。</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楷体_GB2312" w:eastAsia="楷体_GB2312" w:cs="仿宋_GB2312"/>
          <w:sz w:val="32"/>
          <w:szCs w:val="32"/>
          <w:lang w:val="en-US"/>
        </w:rPr>
      </w:pPr>
      <w:r>
        <w:rPr>
          <w:rFonts w:hint="eastAsia" w:ascii="黑体" w:hAnsi="宋体" w:eastAsia="黑体" w:cs="仿宋"/>
          <w:kern w:val="2"/>
          <w:sz w:val="32"/>
          <w:szCs w:val="32"/>
          <w:lang w:val="en-US" w:eastAsia="zh-CN" w:bidi="ar"/>
        </w:rPr>
        <w:t>第三十条</w:t>
      </w:r>
      <w:r>
        <w:rPr>
          <w:rFonts w:hint="eastAsia" w:ascii="仿宋_GB2312" w:hAnsi="Times New Roman" w:eastAsia="仿宋_GB2312" w:cs="仿宋_GB2312"/>
          <w:kern w:val="2"/>
          <w:sz w:val="32"/>
          <w:szCs w:val="32"/>
          <w:lang w:val="en-US" w:eastAsia="zh-CN" w:bidi="ar"/>
        </w:rPr>
        <w:t xml:space="preserve">  违反本条例第十八条规定，在</w:t>
      </w:r>
      <w:r>
        <w:rPr>
          <w:rFonts w:hint="eastAsia" w:ascii="仿宋_GB2312" w:hAnsi="仿宋" w:eastAsia="仿宋_GB2312" w:cs="仿宋"/>
          <w:kern w:val="2"/>
          <w:sz w:val="32"/>
          <w:szCs w:val="32"/>
          <w:lang w:val="en-US" w:eastAsia="zh-CN" w:bidi="ar"/>
        </w:rPr>
        <w:t>本行政区域内销售不符合民用散煤质量标准的煤炭及其制品的，</w:t>
      </w:r>
      <w:r>
        <w:rPr>
          <w:rFonts w:hint="eastAsia" w:ascii="仿宋_GB2312" w:hAnsi="Times New Roman" w:eastAsia="仿宋_GB2312" w:cs="仿宋_GB2312"/>
          <w:kern w:val="2"/>
          <w:sz w:val="32"/>
          <w:szCs w:val="32"/>
          <w:lang w:val="en-US" w:eastAsia="zh-CN" w:bidi="ar"/>
        </w:rPr>
        <w:t>由市场监督管理部门责令改正，没收产品和违法所得，并处货值金额一倍以上三倍以下的罚款。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 xml:space="preserve">第三十一条 </w:t>
      </w:r>
      <w:r>
        <w:rPr>
          <w:rFonts w:hint="eastAsia" w:ascii="仿宋_GB2312" w:hAnsi="Times New Roman" w:eastAsia="仿宋_GB2312" w:cs="仿宋_GB2312"/>
          <w:kern w:val="2"/>
          <w:sz w:val="32"/>
          <w:szCs w:val="32"/>
          <w:lang w:val="en-US" w:eastAsia="zh-CN" w:bidi="ar"/>
        </w:rPr>
        <w:t xml:space="preserve"> 违反本条例第二十一条第一款规定，</w:t>
      </w:r>
      <w:r>
        <w:rPr>
          <w:rFonts w:hint="eastAsia" w:ascii="仿宋_GB2312" w:hAnsi="仿宋" w:eastAsia="仿宋_GB2312" w:cs="仿宋"/>
          <w:kern w:val="2"/>
          <w:sz w:val="32"/>
          <w:szCs w:val="32"/>
          <w:lang w:val="en-US" w:eastAsia="zh-CN" w:bidi="ar"/>
        </w:rPr>
        <w:t>禁煤区内燃煤电厂、集中供热站和原料用煤单位使用的锅炉单台出力或窑炉生产工艺不符合国家和地方规定标准或政策要求的，由生态环境主管部门组织拆除燃煤锅炉，并处二万元以上二十万元以下的罚款。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楷体_GB2312" w:eastAsia="楷体_GB2312" w:cs="仿宋_GB2312"/>
          <w:sz w:val="32"/>
          <w:szCs w:val="32"/>
          <w:lang w:val="en-US"/>
        </w:rPr>
      </w:pPr>
      <w:r>
        <w:rPr>
          <w:rFonts w:hint="eastAsia" w:ascii="黑体" w:hAnsi="宋体" w:eastAsia="黑体" w:cs="仿宋"/>
          <w:kern w:val="2"/>
          <w:sz w:val="32"/>
          <w:szCs w:val="32"/>
          <w:lang w:val="en-US" w:eastAsia="zh-CN" w:bidi="ar"/>
        </w:rPr>
        <w:t>第三十二条</w:t>
      </w:r>
      <w:r>
        <w:rPr>
          <w:rFonts w:hint="eastAsia" w:ascii="仿宋_GB2312" w:hAnsi="Times New Roman" w:eastAsia="仿宋_GB2312" w:cs="仿宋_GB2312"/>
          <w:kern w:val="2"/>
          <w:sz w:val="32"/>
          <w:szCs w:val="32"/>
          <w:lang w:val="en-US" w:eastAsia="zh-CN" w:bidi="ar"/>
        </w:rPr>
        <w:t xml:space="preserve">  违反本条例第二十一条第二款规定，在禁煤区内新建、扩建燃用高污染燃料的设施，或者未按照规定停止燃用高污染燃料的，由生态环境主管部门没收燃用高污染燃料的设施，并处二万元以上二十万元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第三十三条</w:t>
      </w:r>
      <w:r>
        <w:rPr>
          <w:rFonts w:hint="eastAsia" w:ascii="仿宋_GB2312" w:hAnsi="Times New Roman" w:eastAsia="仿宋_GB2312" w:cs="仿宋_GB2312"/>
          <w:kern w:val="2"/>
          <w:sz w:val="32"/>
          <w:szCs w:val="32"/>
          <w:lang w:val="en-US" w:eastAsia="zh-CN" w:bidi="ar"/>
        </w:rPr>
        <w:t xml:space="preserve">  违反本条例第二十一条第三款规定，生产、进口、销售或者使用不符合规定标准或者要求的锅炉，由</w:t>
      </w:r>
      <w:r>
        <w:rPr>
          <w:rFonts w:hint="eastAsia" w:ascii="仿宋_GB2312" w:hAnsi="仿宋" w:eastAsia="仿宋_GB2312" w:cs="仿宋"/>
          <w:kern w:val="2"/>
          <w:sz w:val="32"/>
          <w:szCs w:val="32"/>
          <w:lang w:val="en-US" w:eastAsia="zh-CN" w:bidi="ar"/>
        </w:rPr>
        <w:t>市场</w:t>
      </w:r>
    </w:p>
    <w:p>
      <w:pPr>
        <w:rPr>
          <w:rFonts w:hint="eastAsia" w:ascii="仿宋_GB2312" w:hAnsi="仿宋" w:eastAsia="仿宋_GB2312" w:cs="仿宋"/>
          <w:kern w:val="2"/>
          <w:sz w:val="32"/>
          <w:szCs w:val="32"/>
          <w:lang w:val="en-US" w:eastAsia="zh-CN"/>
        </w:rPr>
        <w:sectPr>
          <w:pgSz w:w="11915" w:h="16839"/>
          <w:pgMar w:top="1871" w:right="1474" w:bottom="1871" w:left="1644" w:header="851" w:footer="1588" w:gutter="0"/>
          <w:paperSrc/>
          <w:pgNumType w:fmt="numberInDash"/>
          <w:cols w:space="720" w:num="1"/>
          <w:docGrid w:type="lines" w:linePitch="408" w:charSpace="0"/>
        </w:sectPr>
      </w:pPr>
    </w:p>
    <w:p>
      <w:pPr>
        <w:keepNext w:val="0"/>
        <w:keepLines w:val="0"/>
        <w:widowControl w:val="0"/>
        <w:suppressLineNumbers w:val="0"/>
        <w:spacing w:before="0" w:beforeAutospacing="0" w:after="0" w:afterAutospacing="0" w:line="600" w:lineRule="exact"/>
        <w:ind w:left="0" w:right="0"/>
        <w:jc w:val="both"/>
        <w:rPr>
          <w:rFonts w:hint="eastAsia" w:ascii="仿宋_GB2312" w:eastAsia="仿宋_GB2312" w:cs="仿宋_GB2312"/>
          <w:sz w:val="32"/>
          <w:szCs w:val="32"/>
          <w:lang w:val="en-US"/>
        </w:rPr>
      </w:pPr>
      <w:r>
        <w:rPr>
          <w:rFonts w:hint="eastAsia" w:ascii="仿宋_GB2312" w:hAnsi="仿宋" w:eastAsia="仿宋_GB2312" w:cs="仿宋"/>
          <w:kern w:val="2"/>
          <w:sz w:val="32"/>
          <w:szCs w:val="32"/>
          <w:lang w:val="en-US" w:eastAsia="zh-CN" w:bidi="ar"/>
        </w:rPr>
        <w:t>监督管理部门、生态环境主管部门责令改正，没收违法所得，并处二万元以上二十万元以下的罚款。</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黑体" w:hAnsi="宋体" w:eastAsia="黑体" w:cs="仿宋"/>
          <w:kern w:val="2"/>
          <w:sz w:val="32"/>
          <w:szCs w:val="32"/>
          <w:lang w:val="en-US" w:eastAsia="zh-CN" w:bidi="ar"/>
        </w:rPr>
        <w:t xml:space="preserve">第三十四条 </w:t>
      </w:r>
      <w:r>
        <w:rPr>
          <w:rFonts w:hint="eastAsia" w:ascii="仿宋_GB2312" w:hAnsi="Times New Roman" w:eastAsia="仿宋_GB2312" w:cs="仿宋_GB2312"/>
          <w:kern w:val="2"/>
          <w:sz w:val="32"/>
          <w:szCs w:val="32"/>
          <w:lang w:val="en-US" w:eastAsia="zh-CN" w:bidi="ar"/>
        </w:rPr>
        <w:t xml:space="preserve"> 违反本条例第二十三条规定，</w:t>
      </w:r>
      <w:r>
        <w:rPr>
          <w:rFonts w:hint="eastAsia" w:ascii="仿宋_GB2312" w:hAnsi="仿宋" w:eastAsia="仿宋_GB2312" w:cs="仿宋"/>
          <w:kern w:val="2"/>
          <w:sz w:val="32"/>
          <w:szCs w:val="32"/>
          <w:lang w:val="en-US" w:eastAsia="zh-CN" w:bidi="ar"/>
        </w:rPr>
        <w:t>运输煤炭及其制品的车辆未使用封闭货厢或者采用其他方式封盖严密的，由市、县（市、区）人民政府确定的监督管理部门责令改正，处</w:t>
      </w:r>
      <w:r>
        <w:rPr>
          <w:rFonts w:hint="eastAsia" w:ascii="仿宋_GB2312" w:hAnsi="Times New Roman" w:eastAsia="仿宋_GB2312" w:cs="仿宋_GB2312"/>
          <w:kern w:val="2"/>
          <w:sz w:val="32"/>
          <w:szCs w:val="32"/>
          <w:lang w:val="en-US" w:eastAsia="zh-CN" w:bidi="ar"/>
        </w:rPr>
        <w:t>二千元以上二万元以下的罚款；拒不改正的，车辆不得上道路行驶。</w:t>
      </w:r>
    </w:p>
    <w:p>
      <w:pPr>
        <w:keepNext w:val="0"/>
        <w:keepLines w:val="0"/>
        <w:widowControl/>
        <w:suppressLineNumbers w:val="0"/>
        <w:spacing w:before="0" w:beforeAutospacing="0" w:after="0" w:afterAutospacing="0" w:line="600" w:lineRule="exact"/>
        <w:ind w:left="0" w:right="0" w:firstLine="640" w:firstLineChars="200"/>
        <w:jc w:val="left"/>
        <w:rPr>
          <w:rFonts w:hint="eastAsia" w:ascii="仿宋_GB2312" w:eastAsia="仿宋_GB2312" w:cs="仿宋_GB2312"/>
          <w:sz w:val="32"/>
          <w:szCs w:val="32"/>
          <w:lang w:val="en-US"/>
        </w:rPr>
      </w:pPr>
      <w:r>
        <w:rPr>
          <w:rFonts w:hint="eastAsia" w:ascii="黑体" w:hAnsi="宋体" w:eastAsia="黑体" w:cs="仿宋"/>
          <w:kern w:val="2"/>
          <w:sz w:val="32"/>
          <w:szCs w:val="32"/>
          <w:lang w:val="en-US" w:eastAsia="zh-CN" w:bidi="ar"/>
        </w:rPr>
        <w:t>第三十五条</w:t>
      </w:r>
      <w:r>
        <w:rPr>
          <w:rFonts w:hint="eastAsia" w:ascii="仿宋_GB2312" w:hAnsi="Times New Roman" w:eastAsia="仿宋_GB2312" w:cs="仿宋_GB2312"/>
          <w:kern w:val="2"/>
          <w:sz w:val="32"/>
          <w:szCs w:val="32"/>
          <w:lang w:val="en-US" w:eastAsia="zh-CN" w:bidi="ar"/>
        </w:rPr>
        <w:t xml:space="preserve">  市、县（市、区）人民政府及有关部门工作人员在燃煤污染防治工作中</w:t>
      </w:r>
      <w:r>
        <w:rPr>
          <w:rFonts w:hint="eastAsia" w:ascii="仿宋_GB2312" w:hAnsi="华文仿宋" w:eastAsia="仿宋_GB2312" w:cs="仿宋_GB2312"/>
          <w:kern w:val="2"/>
          <w:sz w:val="32"/>
          <w:szCs w:val="32"/>
          <w:lang w:val="en-US" w:eastAsia="zh-CN" w:bidi="ar"/>
        </w:rPr>
        <w:t>玩忽职守、滥用职权、徇私舞弊的，由其所在单位或者上级部门依法给予处分；构成犯罪的，依法追究刑事责任。</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_GB2312"/>
          <w:sz w:val="32"/>
          <w:szCs w:val="32"/>
          <w:lang w:val="en-US"/>
        </w:rPr>
      </w:pPr>
    </w:p>
    <w:p>
      <w:pPr>
        <w:keepNext w:val="0"/>
        <w:keepLines w:val="0"/>
        <w:widowControl w:val="0"/>
        <w:suppressLineNumbers w:val="0"/>
        <w:spacing w:before="0" w:beforeAutospacing="0" w:after="0" w:afterAutospacing="0" w:line="600" w:lineRule="exact"/>
        <w:ind w:left="0" w:right="0"/>
        <w:jc w:val="center"/>
        <w:rPr>
          <w:rFonts w:hint="eastAsia" w:ascii="黑体" w:hAnsi="宋体" w:eastAsia="黑体" w:cs="黑体"/>
          <w:sz w:val="32"/>
          <w:szCs w:val="32"/>
          <w:lang w:val="en-US"/>
        </w:rPr>
      </w:pPr>
      <w:r>
        <w:rPr>
          <w:rFonts w:hint="eastAsia" w:ascii="黑体" w:hAnsi="宋体" w:eastAsia="黑体" w:cs="仿宋"/>
          <w:kern w:val="2"/>
          <w:sz w:val="32"/>
          <w:szCs w:val="32"/>
          <w:lang w:val="en-US" w:eastAsia="zh-CN" w:bidi="ar"/>
        </w:rPr>
        <w:t>第四章  附  则</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黑体" w:hAnsi="宋体" w:eastAsia="黑体" w:cs="仿宋"/>
          <w:kern w:val="2"/>
          <w:sz w:val="32"/>
          <w:szCs w:val="32"/>
          <w:lang w:val="en-US" w:eastAsia="zh-CN" w:bidi="ar"/>
        </w:rPr>
        <w:t>第三十六条</w:t>
      </w:r>
      <w:r>
        <w:rPr>
          <w:rFonts w:hint="eastAsia" w:ascii="仿宋_GB2312" w:hAnsi="Times New Roman" w:eastAsia="仿宋_GB2312" w:cs="仿宋_GB2312"/>
          <w:kern w:val="2"/>
          <w:sz w:val="32"/>
          <w:szCs w:val="32"/>
          <w:lang w:val="en-US" w:eastAsia="zh-CN" w:bidi="ar"/>
        </w:rPr>
        <w:t xml:space="preserve">  本条例中下列用语的含义是：</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（一）</w:t>
      </w:r>
      <w:r>
        <w:rPr>
          <w:rFonts w:hint="eastAsia" w:ascii="仿宋_GB2312" w:hAnsi="仿宋" w:eastAsia="仿宋_GB2312" w:cs="仿宋"/>
          <w:kern w:val="2"/>
          <w:sz w:val="32"/>
          <w:szCs w:val="32"/>
          <w:lang w:val="en-US" w:eastAsia="zh-CN" w:bidi="ar"/>
        </w:rPr>
        <w:t>高污染燃料</w:t>
      </w:r>
      <w:r>
        <w:rPr>
          <w:rFonts w:hint="eastAsia" w:ascii="仿宋_GB2312" w:hAnsi="Times New Roman" w:eastAsia="仿宋_GB2312" w:cs="仿宋_GB2312"/>
          <w:kern w:val="2"/>
          <w:sz w:val="32"/>
          <w:szCs w:val="32"/>
          <w:lang w:val="en-US" w:eastAsia="zh-CN" w:bidi="ar"/>
        </w:rPr>
        <w:t>，指国务院生态环境主管部门确定的高污染燃料目录界定的燃料或物质。</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
        </w:rPr>
        <w:t>（二）民用清洁燃料煤炭，指含硫量小于等于1％、灰分小于等于16％的并符合环保要求的煤炭及其制品。</w:t>
      </w:r>
    </w:p>
    <w:p>
      <w:pPr>
        <w:keepNext w:val="0"/>
        <w:keepLines w:val="0"/>
        <w:widowControl w:val="0"/>
        <w:suppressLineNumbers w:val="0"/>
        <w:spacing w:before="0" w:beforeAutospacing="0" w:after="0" w:afterAutospacing="0" w:line="600" w:lineRule="exact"/>
        <w:ind w:left="0" w:right="0" w:firstLine="640" w:firstLineChars="200"/>
        <w:jc w:val="both"/>
        <w:rPr>
          <w:rFonts w:hint="eastAsia" w:ascii="仿宋_GB2312" w:hAnsi="仿宋" w:eastAsia="仿宋_GB2312" w:cs="仿宋"/>
          <w:sz w:val="32"/>
          <w:szCs w:val="32"/>
          <w:lang w:val="en-US"/>
        </w:rPr>
      </w:pPr>
      <w:r>
        <w:rPr>
          <w:rFonts w:hint="eastAsia" w:ascii="黑体" w:hAnsi="宋体" w:eastAsia="黑体" w:cs="仿宋"/>
          <w:kern w:val="2"/>
          <w:sz w:val="32"/>
          <w:szCs w:val="32"/>
          <w:lang w:val="en-US" w:eastAsia="zh-CN" w:bidi="ar"/>
        </w:rPr>
        <w:t>第三十七条</w:t>
      </w:r>
      <w:r>
        <w:rPr>
          <w:rFonts w:hint="eastAsia" w:ascii="仿宋_GB2312" w:hAnsi="仿宋" w:eastAsia="仿宋_GB2312" w:cs="仿宋"/>
          <w:kern w:val="2"/>
          <w:sz w:val="32"/>
          <w:szCs w:val="32"/>
          <w:lang w:val="en-US" w:eastAsia="zh-CN" w:bidi="ar"/>
        </w:rPr>
        <w:t xml:space="preserve">  本条例自2019年1月1日起施行。</w:t>
      </w:r>
    </w:p>
    <w:p>
      <w:pPr>
        <w:keepNext w:val="0"/>
        <w:keepLines w:val="0"/>
        <w:widowControl w:val="0"/>
        <w:suppressLineNumbers w:val="0"/>
        <w:spacing w:before="0" w:beforeAutospacing="0" w:after="0" w:afterAutospacing="0" w:line="600" w:lineRule="exact"/>
        <w:ind w:left="0" w:right="0"/>
        <w:jc w:val="both"/>
        <w:rPr>
          <w:rFonts w:hint="eastAsia" w:ascii="仿宋_GB2312" w:hAnsi="仿宋" w:eastAsia="仿宋_GB2312" w:cs="仿宋"/>
          <w:sz w:val="32"/>
          <w:szCs w:val="32"/>
          <w:lang w:val="en-US"/>
        </w:rPr>
      </w:pPr>
    </w:p>
    <w:p>
      <w:pPr>
        <w:rPr>
          <w:rFonts w:hint="eastAsia" w:ascii="黑体" w:hAnsi="黑体" w:eastAsia="黑体" w:cs="黑体"/>
          <w:b/>
          <w:bCs/>
          <w:sz w:val="32"/>
          <w:szCs w:val="32"/>
          <w:lang w:val="en-US" w:eastAsia="zh-CN"/>
        </w:rPr>
      </w:pPr>
      <w:bookmarkStart w:id="2" w:name="_GoBack"/>
      <w:bookmarkEnd w:id="2"/>
    </w:p>
    <w:sectPr>
      <w:pgSz w:w="11907" w:h="16839"/>
      <w:pgMar w:top="2098" w:right="1474" w:bottom="2098" w:left="1587" w:header="851" w:footer="1588" w:gutter="0"/>
      <w:pgNumType w:fmt="numberInDash"/>
      <w:cols w:space="720" w:num="1"/>
      <w:docGrid w:type="lines" w:linePitch="40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altName w:val="仿宋"/>
    <w:panose1 w:val="00000000000000000000"/>
    <w:charset w:val="86"/>
    <w:family w:val="auto"/>
    <w:pitch w:val="default"/>
    <w:sig w:usb0="00000000" w:usb1="00000000" w:usb2="00000010" w:usb3="00000000" w:csb0="0004009F" w:csb1="00000000"/>
  </w:font>
  <w:font w:name="楷体">
    <w:panose1 w:val="02010609060101010101"/>
    <w:charset w:val="86"/>
    <w:family w:val="auto"/>
    <w:pitch w:val="default"/>
    <w:sig w:usb0="800002BF" w:usb1="38CF7CFA" w:usb2="00000016" w:usb3="00000000" w:csb0="00040001" w:csb1="00000000"/>
  </w:font>
  <w:font w:name="华文楷体">
    <w:altName w:val="宋体"/>
    <w:panose1 w:val="00000000000000000000"/>
    <w:charset w:val="86"/>
    <w:family w:val="auto"/>
    <w:pitch w:val="default"/>
    <w:sig w:usb0="00000000" w:usb1="00000000" w:usb2="00000010" w:usb3="00000000" w:csb0="0004009F" w:csb1="00000000"/>
  </w:font>
  <w:font w:name="宋体-PUA">
    <w:altName w:val="宋体"/>
    <w:panose1 w:val="0201060003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仿宋">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华文仿宋">
    <w:altName w:val="仿宋"/>
    <w:panose1 w:val="00000000000000000000"/>
    <w:charset w:val="86"/>
    <w:family w:val="auto"/>
    <w:pitch w:val="default"/>
    <w:sig w:usb0="00000287" w:usb1="080F0000" w:usb2="00000000" w:usb3="00000000" w:csb0="0004009F" w:csb1="DFD70000"/>
  </w:font>
  <w:font w:name="@楷体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pPr>
    <w:r>
      <w:rPr>
        <w:rFonts w:ascii="Calibri" w:hAnsi="Calibri" w:eastAsia="宋体" w:cs="Times New Roman"/>
        <w:kern w:val="2"/>
        <w:sz w:val="18"/>
        <w:szCs w:val="24"/>
        <w:lang w:val="en-US" w:eastAsia="zh-CN" w:bidi="ar-SA"/>
      </w:rPr>
      <w:pict>
        <v:shape id="_x0000_s4110" o:spid="_x0000_s4110" o:spt="202" type="#_x0000_t202" style="position:absolute;left:0pt;margin-left:7.2pt;margin-top:-24pt;height:16.15pt;width:32.65pt;mso-position-horizontal-relative:margin;mso-wrap-style:none;z-index:251671552;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3"/>
                  <w:rPr>
                    <w:rFonts w:hint="eastAsia" w:ascii="宋体-PUA" w:hAnsi="宋体-PUA" w:eastAsia="宋体-PUA" w:cs="宋体-PUA"/>
                    <w:sz w:val="28"/>
                    <w:szCs w:val="28"/>
                  </w:rPr>
                </w:pPr>
                <w:r>
                  <w:rPr>
                    <w:rFonts w:hint="eastAsia" w:ascii="宋体-PUA" w:hAnsi="宋体-PUA" w:eastAsia="宋体-PUA" w:cs="宋体-PUA"/>
                    <w:sz w:val="28"/>
                    <w:szCs w:val="28"/>
                  </w:rPr>
                  <w:fldChar w:fldCharType="begin"/>
                </w:r>
                <w:r>
                  <w:rPr>
                    <w:rFonts w:hint="eastAsia" w:ascii="宋体-PUA" w:hAnsi="宋体-PUA" w:eastAsia="宋体-PUA" w:cs="宋体-PUA"/>
                    <w:sz w:val="28"/>
                    <w:szCs w:val="28"/>
                  </w:rPr>
                  <w:instrText xml:space="preserve">PAGE  </w:instrText>
                </w:r>
                <w:r>
                  <w:rPr>
                    <w:rFonts w:hint="eastAsia" w:ascii="宋体-PUA" w:hAnsi="宋体-PUA" w:eastAsia="宋体-PUA" w:cs="宋体-PUA"/>
                    <w:sz w:val="28"/>
                    <w:szCs w:val="28"/>
                  </w:rPr>
                  <w:fldChar w:fldCharType="separate"/>
                </w:r>
                <w:r>
                  <w:rPr>
                    <w:rFonts w:hint="eastAsia" w:ascii="宋体-PUA" w:hAnsi="宋体-PUA" w:eastAsia="宋体-PUA" w:cs="宋体-PUA"/>
                    <w:sz w:val="28"/>
                    <w:szCs w:val="28"/>
                  </w:rPr>
                  <w:t>15</w:t>
                </w:r>
                <w:r>
                  <w:rPr>
                    <w:rFonts w:hint="eastAsia" w:ascii="宋体-PUA" w:hAnsi="宋体-PUA" w:eastAsia="宋体-PUA" w:cs="宋体-PUA"/>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B5D75AC"/>
    <w:rsid w:val="000E045E"/>
    <w:rsid w:val="0012491F"/>
    <w:rsid w:val="0018759B"/>
    <w:rsid w:val="0021402D"/>
    <w:rsid w:val="00247A17"/>
    <w:rsid w:val="002D5763"/>
    <w:rsid w:val="003F6D7B"/>
    <w:rsid w:val="004F33A9"/>
    <w:rsid w:val="0052071E"/>
    <w:rsid w:val="0077671E"/>
    <w:rsid w:val="007969BF"/>
    <w:rsid w:val="00945778"/>
    <w:rsid w:val="00950B54"/>
    <w:rsid w:val="00D37B9D"/>
    <w:rsid w:val="00D55E6C"/>
    <w:rsid w:val="00E26590"/>
    <w:rsid w:val="00E7294B"/>
    <w:rsid w:val="00F16D92"/>
    <w:rsid w:val="00FA4F3C"/>
    <w:rsid w:val="016630D6"/>
    <w:rsid w:val="01763E95"/>
    <w:rsid w:val="01EA3EEB"/>
    <w:rsid w:val="08032BD0"/>
    <w:rsid w:val="08722E24"/>
    <w:rsid w:val="08845F7A"/>
    <w:rsid w:val="08CE7B23"/>
    <w:rsid w:val="0B2E5767"/>
    <w:rsid w:val="0C5335B0"/>
    <w:rsid w:val="0C9617CD"/>
    <w:rsid w:val="0CC95D3F"/>
    <w:rsid w:val="0D00367A"/>
    <w:rsid w:val="0D250B0E"/>
    <w:rsid w:val="0DD74DD7"/>
    <w:rsid w:val="0DF24AE1"/>
    <w:rsid w:val="0E877351"/>
    <w:rsid w:val="0EFF60F4"/>
    <w:rsid w:val="0F743495"/>
    <w:rsid w:val="112E52B0"/>
    <w:rsid w:val="11D34742"/>
    <w:rsid w:val="142865B9"/>
    <w:rsid w:val="142F4802"/>
    <w:rsid w:val="14E11C6B"/>
    <w:rsid w:val="151654A2"/>
    <w:rsid w:val="16442691"/>
    <w:rsid w:val="167C3B86"/>
    <w:rsid w:val="16DF73D1"/>
    <w:rsid w:val="172F0276"/>
    <w:rsid w:val="181D742B"/>
    <w:rsid w:val="18B01158"/>
    <w:rsid w:val="1B5C7968"/>
    <w:rsid w:val="1BAB6F1A"/>
    <w:rsid w:val="1D6D5DCD"/>
    <w:rsid w:val="1E0D132C"/>
    <w:rsid w:val="1E8A1C00"/>
    <w:rsid w:val="1EA3603B"/>
    <w:rsid w:val="202004EB"/>
    <w:rsid w:val="21211CB8"/>
    <w:rsid w:val="22BB3B23"/>
    <w:rsid w:val="22D200E5"/>
    <w:rsid w:val="24087007"/>
    <w:rsid w:val="246C4054"/>
    <w:rsid w:val="24EF687E"/>
    <w:rsid w:val="25602EB7"/>
    <w:rsid w:val="25813FD2"/>
    <w:rsid w:val="25D13729"/>
    <w:rsid w:val="26795A3B"/>
    <w:rsid w:val="26B3375D"/>
    <w:rsid w:val="26EB277F"/>
    <w:rsid w:val="27E55573"/>
    <w:rsid w:val="287E039F"/>
    <w:rsid w:val="295260E1"/>
    <w:rsid w:val="2A7D3A1C"/>
    <w:rsid w:val="2B5B66B9"/>
    <w:rsid w:val="2BCA301B"/>
    <w:rsid w:val="2C9C470C"/>
    <w:rsid w:val="2CC8527D"/>
    <w:rsid w:val="2D3A33B3"/>
    <w:rsid w:val="2D5A7676"/>
    <w:rsid w:val="2D8E2225"/>
    <w:rsid w:val="2EAA2810"/>
    <w:rsid w:val="2EC13008"/>
    <w:rsid w:val="2ECE2211"/>
    <w:rsid w:val="2FBD19DD"/>
    <w:rsid w:val="30A86EEB"/>
    <w:rsid w:val="31CF0BA8"/>
    <w:rsid w:val="31D92171"/>
    <w:rsid w:val="330A1F35"/>
    <w:rsid w:val="35E34A4D"/>
    <w:rsid w:val="364D7526"/>
    <w:rsid w:val="375C158B"/>
    <w:rsid w:val="381F6DA0"/>
    <w:rsid w:val="385F3A0B"/>
    <w:rsid w:val="38DC68D4"/>
    <w:rsid w:val="3A255853"/>
    <w:rsid w:val="3AC50E63"/>
    <w:rsid w:val="3B59226A"/>
    <w:rsid w:val="3B5D75AC"/>
    <w:rsid w:val="3C004CE1"/>
    <w:rsid w:val="3C5756F7"/>
    <w:rsid w:val="3D146D37"/>
    <w:rsid w:val="3DCB0B7C"/>
    <w:rsid w:val="3DF926E2"/>
    <w:rsid w:val="3FA46036"/>
    <w:rsid w:val="4095550C"/>
    <w:rsid w:val="40D25065"/>
    <w:rsid w:val="41DB75BC"/>
    <w:rsid w:val="423A6416"/>
    <w:rsid w:val="4247786D"/>
    <w:rsid w:val="42D16279"/>
    <w:rsid w:val="44AF59AE"/>
    <w:rsid w:val="4672023B"/>
    <w:rsid w:val="46C0371B"/>
    <w:rsid w:val="4836167E"/>
    <w:rsid w:val="494F63F8"/>
    <w:rsid w:val="49D07D09"/>
    <w:rsid w:val="4A6563F3"/>
    <w:rsid w:val="4B2C5678"/>
    <w:rsid w:val="4BC17F58"/>
    <w:rsid w:val="4D472ED5"/>
    <w:rsid w:val="4E7D2B3D"/>
    <w:rsid w:val="50E806F5"/>
    <w:rsid w:val="51435A36"/>
    <w:rsid w:val="51451FF3"/>
    <w:rsid w:val="51A4299B"/>
    <w:rsid w:val="52934AB5"/>
    <w:rsid w:val="52DF59BF"/>
    <w:rsid w:val="53132B59"/>
    <w:rsid w:val="531913FB"/>
    <w:rsid w:val="53427D28"/>
    <w:rsid w:val="53F1713A"/>
    <w:rsid w:val="54CD7786"/>
    <w:rsid w:val="54FC7447"/>
    <w:rsid w:val="55255A5A"/>
    <w:rsid w:val="5597277B"/>
    <w:rsid w:val="57B413F7"/>
    <w:rsid w:val="5881107B"/>
    <w:rsid w:val="589B4259"/>
    <w:rsid w:val="596179C1"/>
    <w:rsid w:val="596D76F6"/>
    <w:rsid w:val="59DB66E6"/>
    <w:rsid w:val="5A17315C"/>
    <w:rsid w:val="5AF37986"/>
    <w:rsid w:val="5BB56135"/>
    <w:rsid w:val="5CBF1CB0"/>
    <w:rsid w:val="5CEF09F9"/>
    <w:rsid w:val="5DA8355B"/>
    <w:rsid w:val="5DAF5520"/>
    <w:rsid w:val="5EBF1A55"/>
    <w:rsid w:val="5EC8585C"/>
    <w:rsid w:val="600B1079"/>
    <w:rsid w:val="600C6C22"/>
    <w:rsid w:val="6098374C"/>
    <w:rsid w:val="618D7A6F"/>
    <w:rsid w:val="61951DE0"/>
    <w:rsid w:val="625A2AC1"/>
    <w:rsid w:val="62647B0D"/>
    <w:rsid w:val="626671FB"/>
    <w:rsid w:val="6267697D"/>
    <w:rsid w:val="63E915B2"/>
    <w:rsid w:val="65360070"/>
    <w:rsid w:val="656172D8"/>
    <w:rsid w:val="66CE3A1B"/>
    <w:rsid w:val="66DB3717"/>
    <w:rsid w:val="680153DF"/>
    <w:rsid w:val="682F15FF"/>
    <w:rsid w:val="684F1F2A"/>
    <w:rsid w:val="68C97167"/>
    <w:rsid w:val="69521091"/>
    <w:rsid w:val="695A2B7E"/>
    <w:rsid w:val="6AFD1260"/>
    <w:rsid w:val="6B8D0D02"/>
    <w:rsid w:val="6CA22C5D"/>
    <w:rsid w:val="6CE97E37"/>
    <w:rsid w:val="6D422B93"/>
    <w:rsid w:val="6DE50581"/>
    <w:rsid w:val="6E24444A"/>
    <w:rsid w:val="70361A4D"/>
    <w:rsid w:val="70C665E6"/>
    <w:rsid w:val="71CA7E1E"/>
    <w:rsid w:val="72015B5B"/>
    <w:rsid w:val="72025FA3"/>
    <w:rsid w:val="740375DF"/>
    <w:rsid w:val="741914B8"/>
    <w:rsid w:val="749460B0"/>
    <w:rsid w:val="7745606C"/>
    <w:rsid w:val="77C46EF7"/>
    <w:rsid w:val="77E460B2"/>
    <w:rsid w:val="78106988"/>
    <w:rsid w:val="78A3316A"/>
    <w:rsid w:val="78D06A53"/>
    <w:rsid w:val="79ED5DB0"/>
    <w:rsid w:val="7A361CD4"/>
    <w:rsid w:val="7A465080"/>
    <w:rsid w:val="7AD23F82"/>
    <w:rsid w:val="7BED3796"/>
    <w:rsid w:val="7CB56300"/>
    <w:rsid w:val="7CB6682B"/>
    <w:rsid w:val="7D6968F1"/>
    <w:rsid w:val="7D7C51B2"/>
    <w:rsid w:val="7E983BF7"/>
    <w:rsid w:val="7FC97233"/>
    <w:rsid w:val="7FF543B4"/>
  </w:rsids>
  <m:mathPr>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nhideWhenUsed="0" w:uiPriority="99" w:semiHidden="0" w:name="heading 2"/>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iPriority="99" w:semiHidden="0"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qFormat="1" w:unhideWhenUsed="0" w:uiPriority="99" w:semiHidden="0" w:name="FollowedHyperlink"/>
    <w:lsdException w:qFormat="1" w:unhideWhenUsed="0" w:uiPriority="99" w:semiHidden="0" w:name="Strong"/>
    <w:lsdException w:qFormat="1" w:unhideWhenUsed="0" w:uiPriority="99" w:semiHidden="0" w:name="Emphasis"/>
    <w:lsdException w:uiPriority="99" w:name="Document Map" w:locked="1"/>
    <w:lsdException w:uiPriority="99" w:name="Plain Text" w:locked="1"/>
    <w:lsdException w:uiPriority="99" w:name="E-mail Signature" w:locked="1"/>
    <w:lsdException w:uiPriority="99" w:name="Normal (Web)" w:locked="1"/>
    <w:lsdException w:uiPriority="99" w:name="HTML Acronym" w:locked="1"/>
    <w:lsdException w:uiPriority="99" w:name="HTML Address" w:locked="1"/>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uiPriority="99" w:name="HTML Preformatted" w:locked="1"/>
    <w:lsdException w:qFormat="1" w:unhideWhenUsed="0" w:uiPriority="99" w:semiHidden="0" w:name="HTML Sample"/>
    <w:lsdException w:uiPriority="99" w:name="HTML Typewriter" w:locked="1"/>
    <w:lsdException w:qFormat="1" w:unhideWhenUsed="0" w:uiPriority="99" w:semiHidden="0" w:name="HTML Variable"/>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20"/>
    <w:qFormat/>
    <w:uiPriority w:val="99"/>
    <w:pPr>
      <w:spacing w:beforeAutospacing="1" w:afterAutospacing="1"/>
      <w:jc w:val="left"/>
      <w:outlineLvl w:val="1"/>
    </w:pPr>
    <w:rPr>
      <w:rFonts w:ascii="宋体" w:hAnsi="宋体"/>
      <w:kern w:val="0"/>
      <w:sz w:val="18"/>
      <w:szCs w:val="18"/>
    </w:rPr>
  </w:style>
  <w:style w:type="character" w:default="1" w:styleId="6">
    <w:name w:val="Default Paragraph Font"/>
    <w:link w:val="7"/>
    <w:semiHidden/>
    <w:qFormat/>
    <w:uiPriority w:val="99"/>
    <w:rPr>
      <w:rFonts w:eastAsia="宋体"/>
      <w:spacing w:val="0"/>
      <w:sz w:val="21"/>
    </w:rPr>
  </w:style>
  <w:style w:type="table" w:default="1" w:styleId="19">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3">
    <w:name w:val="footer"/>
    <w:basedOn w:val="1"/>
    <w:link w:val="21"/>
    <w:qFormat/>
    <w:uiPriority w:val="99"/>
    <w:pPr>
      <w:tabs>
        <w:tab w:val="center" w:pos="4153"/>
        <w:tab w:val="right" w:pos="8306"/>
      </w:tabs>
      <w:snapToGrid w:val="0"/>
      <w:jc w:val="left"/>
    </w:pPr>
    <w:rPr>
      <w:sz w:val="18"/>
    </w:rPr>
  </w:style>
  <w:style w:type="paragraph" w:styleId="4">
    <w:name w:val="header"/>
    <w:basedOn w:val="1"/>
    <w:link w:val="22"/>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semiHidden/>
    <w:unhideWhenUsed/>
    <w:locked/>
    <w:uiPriority w:val="99"/>
    <w:pPr>
      <w:keepNext w:val="0"/>
      <w:keepLines w:val="0"/>
      <w:widowControl/>
      <w:suppressLineNumbers w:val="0"/>
      <w:spacing w:before="0" w:beforeAutospacing="1" w:after="0" w:afterAutospacing="1"/>
      <w:ind w:left="0" w:right="0"/>
      <w:jc w:val="left"/>
    </w:pPr>
    <w:rPr>
      <w:rFonts w:hint="eastAsia" w:ascii="宋体" w:hAnsi="Times New Roman" w:eastAsia="宋体" w:cs="宋体"/>
      <w:kern w:val="0"/>
      <w:sz w:val="24"/>
      <w:szCs w:val="24"/>
      <w:lang w:val="en-US" w:eastAsia="zh-CN" w:bidi="ar"/>
    </w:rPr>
  </w:style>
  <w:style w:type="paragraph" w:customStyle="1" w:styleId="7">
    <w:name w:val="Char Char Char Char Char Char Char"/>
    <w:basedOn w:val="1"/>
    <w:link w:val="6"/>
    <w:qFormat/>
    <w:uiPriority w:val="0"/>
    <w:pPr>
      <w:tabs>
        <w:tab w:val="right" w:leader="middleDot" w:pos="600"/>
      </w:tabs>
    </w:pPr>
    <w:rPr>
      <w:rFonts w:eastAsia="宋体"/>
      <w:spacing w:val="0"/>
      <w:sz w:val="21"/>
    </w:rPr>
  </w:style>
  <w:style w:type="character" w:styleId="8">
    <w:name w:val="Strong"/>
    <w:basedOn w:val="6"/>
    <w:qFormat/>
    <w:uiPriority w:val="99"/>
    <w:rPr>
      <w:rFonts w:cs="Times New Roman"/>
      <w:b/>
    </w:rPr>
  </w:style>
  <w:style w:type="character" w:styleId="9">
    <w:name w:val="page number"/>
    <w:basedOn w:val="6"/>
    <w:unhideWhenUsed/>
    <w:qFormat/>
    <w:locked/>
    <w:uiPriority w:val="99"/>
  </w:style>
  <w:style w:type="character" w:styleId="10">
    <w:name w:val="FollowedHyperlink"/>
    <w:basedOn w:val="6"/>
    <w:qFormat/>
    <w:uiPriority w:val="99"/>
    <w:rPr>
      <w:rFonts w:ascii="Arial" w:hAnsi="Arial" w:cs="Arial"/>
      <w:color w:val="333333"/>
      <w:u w:val="none"/>
    </w:rPr>
  </w:style>
  <w:style w:type="character" w:styleId="11">
    <w:name w:val="Emphasis"/>
    <w:basedOn w:val="6"/>
    <w:qFormat/>
    <w:uiPriority w:val="99"/>
    <w:rPr>
      <w:rFonts w:cs="Times New Roman"/>
    </w:rPr>
  </w:style>
  <w:style w:type="character" w:styleId="12">
    <w:name w:val="HTML Definition"/>
    <w:basedOn w:val="6"/>
    <w:qFormat/>
    <w:uiPriority w:val="99"/>
    <w:rPr>
      <w:rFonts w:cs="Times New Roman"/>
    </w:rPr>
  </w:style>
  <w:style w:type="character" w:styleId="13">
    <w:name w:val="HTML Variable"/>
    <w:basedOn w:val="6"/>
    <w:qFormat/>
    <w:uiPriority w:val="99"/>
    <w:rPr>
      <w:rFonts w:cs="Times New Roman"/>
    </w:rPr>
  </w:style>
  <w:style w:type="character" w:styleId="14">
    <w:name w:val="Hyperlink"/>
    <w:basedOn w:val="6"/>
    <w:qFormat/>
    <w:uiPriority w:val="99"/>
    <w:rPr>
      <w:rFonts w:ascii="Arial" w:hAnsi="Arial" w:cs="Arial"/>
      <w:color w:val="333333"/>
      <w:u w:val="none"/>
    </w:rPr>
  </w:style>
  <w:style w:type="character" w:styleId="15">
    <w:name w:val="HTML Code"/>
    <w:basedOn w:val="6"/>
    <w:qFormat/>
    <w:uiPriority w:val="99"/>
    <w:rPr>
      <w:rFonts w:ascii="monospace" w:hAnsi="monospace" w:cs="monospace"/>
      <w:sz w:val="21"/>
      <w:szCs w:val="21"/>
    </w:rPr>
  </w:style>
  <w:style w:type="character" w:styleId="16">
    <w:name w:val="HTML Cite"/>
    <w:basedOn w:val="6"/>
    <w:qFormat/>
    <w:uiPriority w:val="99"/>
    <w:rPr>
      <w:rFonts w:cs="Times New Roman"/>
    </w:rPr>
  </w:style>
  <w:style w:type="character" w:styleId="17">
    <w:name w:val="HTML Keyboard"/>
    <w:basedOn w:val="6"/>
    <w:qFormat/>
    <w:uiPriority w:val="99"/>
    <w:rPr>
      <w:rFonts w:ascii="monospace" w:hAnsi="monospace" w:cs="monospace"/>
      <w:sz w:val="21"/>
      <w:szCs w:val="21"/>
    </w:rPr>
  </w:style>
  <w:style w:type="character" w:styleId="18">
    <w:name w:val="HTML Sample"/>
    <w:basedOn w:val="6"/>
    <w:qFormat/>
    <w:uiPriority w:val="99"/>
    <w:rPr>
      <w:rFonts w:ascii="monospace" w:hAnsi="monospace" w:cs="monospace"/>
      <w:sz w:val="21"/>
      <w:szCs w:val="21"/>
    </w:rPr>
  </w:style>
  <w:style w:type="character" w:customStyle="1" w:styleId="20">
    <w:name w:val="Heading 2 Char"/>
    <w:basedOn w:val="6"/>
    <w:link w:val="2"/>
    <w:semiHidden/>
    <w:qFormat/>
    <w:locked/>
    <w:uiPriority w:val="99"/>
    <w:rPr>
      <w:rFonts w:ascii="Cambria" w:hAnsi="Cambria" w:eastAsia="宋体" w:cs="Times New Roman"/>
      <w:b/>
      <w:bCs/>
      <w:sz w:val="32"/>
      <w:szCs w:val="32"/>
    </w:rPr>
  </w:style>
  <w:style w:type="character" w:customStyle="1" w:styleId="21">
    <w:name w:val="Footer Char"/>
    <w:basedOn w:val="6"/>
    <w:link w:val="3"/>
    <w:semiHidden/>
    <w:qFormat/>
    <w:locked/>
    <w:uiPriority w:val="99"/>
    <w:rPr>
      <w:rFonts w:ascii="Calibri" w:hAnsi="Calibri" w:cs="Times New Roman"/>
      <w:sz w:val="18"/>
      <w:szCs w:val="18"/>
    </w:rPr>
  </w:style>
  <w:style w:type="character" w:customStyle="1" w:styleId="22">
    <w:name w:val="Header Char"/>
    <w:basedOn w:val="6"/>
    <w:link w:val="4"/>
    <w:semiHidden/>
    <w:qFormat/>
    <w:locked/>
    <w:uiPriority w:val="99"/>
    <w:rPr>
      <w:rFonts w:ascii="Calibri" w:hAnsi="Calibri" w:cs="Times New Roman"/>
      <w:sz w:val="18"/>
      <w:szCs w:val="18"/>
    </w:rPr>
  </w:style>
  <w:style w:type="character" w:customStyle="1" w:styleId="23">
    <w:name w:val="fontstrikethrough"/>
    <w:basedOn w:val="6"/>
    <w:qFormat/>
    <w:uiPriority w:val="99"/>
    <w:rPr>
      <w:rFonts w:cs="Times New Roman"/>
      <w:strike/>
    </w:rPr>
  </w:style>
  <w:style w:type="character" w:customStyle="1" w:styleId="24">
    <w:name w:val="fontborder"/>
    <w:basedOn w:val="6"/>
    <w:qFormat/>
    <w:uiPriority w:val="99"/>
    <w:rPr>
      <w:rFonts w:cs="Times New Roman"/>
      <w:bdr w:val="single" w:color="000000" w:sz="6"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411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9</Pages>
  <Words>622</Words>
  <Characters>3548</Characters>
  <Lines>0</Lines>
  <Paragraphs>0</Paragraphs>
  <TotalTime>2</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2017-04-25T08:07:00Z</dcterms:created>
  <dc:creator>Administrator</dc:creator>
  <cp:lastModifiedBy>兴尽晚回舟</cp:lastModifiedBy>
  <cp:lastPrinted>2017-11-29T06:55:00Z</cp:lastPrinted>
  <dcterms:modified xsi:type="dcterms:W3CDTF">2018-12-17T01:07:15Z</dcterms:modified>
  <dc:title>晋中市人大法制委员会</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