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eastAsia="宋体"/>
          <w:b w:val="0"/>
          <w:bCs/>
          <w:sz w:val="44"/>
          <w:szCs w:val="44"/>
        </w:rPr>
      </w:pPr>
      <w:r>
        <w:rPr>
          <w:rFonts w:hint="eastAsia" w:ascii="宋体-PUA" w:hAnsi="宋体-PUA" w:eastAsia="宋体-PUA" w:cs="宋体-PUA"/>
          <w:b w:val="0"/>
          <w:bCs/>
          <w:sz w:val="44"/>
          <w:szCs w:val="44"/>
        </w:rPr>
        <w:t>晋中市</w:t>
      </w:r>
      <w:r>
        <w:rPr>
          <w:rFonts w:hint="eastAsia" w:ascii="宋体-PUA" w:hAnsi="宋体-PUA" w:eastAsia="宋体-PUA" w:cs="宋体-PUA"/>
          <w:b w:val="0"/>
          <w:bCs/>
          <w:sz w:val="44"/>
          <w:szCs w:val="44"/>
          <w:lang w:val="en-US" w:eastAsia="zh-CN"/>
        </w:rPr>
        <w:t>禁止燃放烟花爆竹规定</w:t>
      </w:r>
    </w:p>
    <w:p>
      <w:pPr>
        <w:spacing w:line="580" w:lineRule="exact"/>
        <w:rPr>
          <w:rFonts w:hint="eastAsia" w:ascii="楷体_GB2312" w:hAnsi="楷体_GB2312" w:eastAsia="楷体_GB2312" w:cs="楷体_GB2312"/>
          <w:kern w:val="0"/>
          <w:sz w:val="32"/>
          <w:szCs w:val="32"/>
        </w:rPr>
      </w:pPr>
    </w:p>
    <w:p>
      <w:pPr>
        <w:spacing w:line="580" w:lineRule="exact"/>
        <w:ind w:firstLine="640" w:firstLineChars="2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（2017年</w:t>
      </w:r>
      <w:r>
        <w:rPr>
          <w:rFonts w:hint="eastAsia" w:ascii="楷体_GB2312" w:hAnsi="楷体_GB2312" w:eastAsia="楷体_GB2312" w:cs="楷体_GB2312"/>
          <w:kern w:val="0"/>
          <w:sz w:val="32"/>
          <w:szCs w:val="32"/>
          <w:lang w:val="en-US" w:eastAsia="zh-CN"/>
        </w:rPr>
        <w:t>10</w:t>
      </w:r>
      <w:r>
        <w:rPr>
          <w:rFonts w:hint="eastAsia" w:ascii="楷体_GB2312" w:hAnsi="楷体_GB2312" w:eastAsia="楷体_GB2312" w:cs="楷体_GB2312"/>
          <w:kern w:val="0"/>
          <w:sz w:val="32"/>
          <w:szCs w:val="32"/>
        </w:rPr>
        <w:t>月3</w:t>
      </w:r>
      <w:r>
        <w:rPr>
          <w:rFonts w:hint="eastAsia" w:ascii="楷体_GB2312" w:hAnsi="楷体_GB2312" w:eastAsia="楷体_GB2312" w:cs="楷体_GB2312"/>
          <w:kern w:val="0"/>
          <w:sz w:val="32"/>
          <w:szCs w:val="32"/>
          <w:lang w:val="en-US" w:eastAsia="zh-CN"/>
        </w:rPr>
        <w:t>1</w:t>
      </w:r>
      <w:r>
        <w:rPr>
          <w:rFonts w:hint="eastAsia" w:ascii="楷体_GB2312" w:hAnsi="楷体_GB2312" w:eastAsia="楷体_GB2312" w:cs="楷体_GB2312"/>
          <w:kern w:val="0"/>
          <w:sz w:val="32"/>
          <w:szCs w:val="32"/>
        </w:rPr>
        <w:t>日晋中市第四届人民代表大会常务</w:t>
      </w:r>
    </w:p>
    <w:p>
      <w:pPr>
        <w:spacing w:line="580" w:lineRule="exact"/>
        <w:ind w:firstLine="640" w:firstLineChars="2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委员会第</w:t>
      </w:r>
      <w:r>
        <w:rPr>
          <w:rFonts w:hint="eastAsia" w:ascii="楷体_GB2312" w:hAnsi="楷体_GB2312" w:eastAsia="楷体_GB2312" w:cs="楷体_GB2312"/>
          <w:kern w:val="0"/>
          <w:sz w:val="32"/>
          <w:szCs w:val="32"/>
          <w:lang w:val="en-US" w:eastAsia="zh-CN"/>
        </w:rPr>
        <w:t>十</w:t>
      </w:r>
      <w:r>
        <w:rPr>
          <w:rFonts w:hint="eastAsia" w:ascii="楷体_GB2312" w:hAnsi="楷体_GB2312" w:eastAsia="楷体_GB2312" w:cs="楷体_GB2312"/>
          <w:kern w:val="0"/>
          <w:sz w:val="32"/>
          <w:szCs w:val="32"/>
        </w:rPr>
        <w:t>次会议通过</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201</w:t>
      </w:r>
      <w:r>
        <w:rPr>
          <w:rFonts w:hint="eastAsia" w:ascii="楷体_GB2312" w:hAnsi="楷体_GB2312" w:eastAsia="楷体_GB2312" w:cs="楷体_GB2312"/>
          <w:kern w:val="0"/>
          <w:sz w:val="32"/>
          <w:szCs w:val="32"/>
          <w:lang w:val="en-US" w:eastAsia="zh-CN"/>
        </w:rPr>
        <w:t>8</w:t>
      </w:r>
      <w:r>
        <w:rPr>
          <w:rFonts w:hint="eastAsia" w:ascii="楷体_GB2312" w:hAnsi="楷体_GB2312" w:eastAsia="楷体_GB2312" w:cs="楷体_GB2312"/>
          <w:kern w:val="0"/>
          <w:sz w:val="32"/>
          <w:szCs w:val="32"/>
        </w:rPr>
        <w:t>年1月</w:t>
      </w:r>
      <w:r>
        <w:rPr>
          <w:rFonts w:hint="eastAsia" w:ascii="楷体_GB2312" w:hAnsi="楷体_GB2312" w:eastAsia="楷体_GB2312" w:cs="楷体_GB2312"/>
          <w:kern w:val="0"/>
          <w:sz w:val="32"/>
          <w:szCs w:val="32"/>
          <w:lang w:val="en-US" w:eastAsia="zh-CN"/>
        </w:rPr>
        <w:t>22</w:t>
      </w:r>
      <w:r>
        <w:rPr>
          <w:rFonts w:hint="eastAsia" w:ascii="楷体_GB2312" w:hAnsi="楷体_GB2312" w:eastAsia="楷体_GB2312" w:cs="楷体_GB2312"/>
          <w:kern w:val="0"/>
          <w:sz w:val="32"/>
          <w:szCs w:val="32"/>
        </w:rPr>
        <w:t>日山西省第</w:t>
      </w:r>
    </w:p>
    <w:p>
      <w:pPr>
        <w:spacing w:line="580" w:lineRule="exact"/>
        <w:ind w:firstLine="640" w:firstLineChars="2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十二届人民代表大会常务委员会第四十</w:t>
      </w:r>
      <w:r>
        <w:rPr>
          <w:rFonts w:hint="eastAsia" w:ascii="楷体_GB2312" w:hAnsi="楷体_GB2312" w:eastAsia="楷体_GB2312" w:cs="楷体_GB2312"/>
          <w:kern w:val="0"/>
          <w:sz w:val="32"/>
          <w:szCs w:val="32"/>
          <w:lang w:val="en-US" w:eastAsia="zh-CN"/>
        </w:rPr>
        <w:t>三</w:t>
      </w:r>
      <w:r>
        <w:rPr>
          <w:rFonts w:hint="eastAsia" w:ascii="楷体_GB2312" w:hAnsi="楷体_GB2312" w:eastAsia="楷体_GB2312" w:cs="楷体_GB2312"/>
          <w:kern w:val="0"/>
          <w:sz w:val="32"/>
          <w:szCs w:val="32"/>
        </w:rPr>
        <w:t>次会议批准）</w:t>
      </w:r>
    </w:p>
    <w:p>
      <w:pPr>
        <w:widowControl w:val="0"/>
        <w:wordWrap/>
        <w:adjustRightInd/>
        <w:snapToGrid/>
        <w:spacing w:line="560" w:lineRule="exact"/>
        <w:ind w:left="0" w:leftChars="0" w:right="0" w:firstLine="3520" w:firstLineChars="1100"/>
        <w:jc w:val="both"/>
        <w:textAlignment w:val="auto"/>
        <w:outlineLvl w:val="9"/>
        <w:rPr>
          <w:rFonts w:hint="eastAsia" w:ascii="楷体_GB2312" w:hAnsi="楷体_GB2312" w:eastAsia="楷体_GB2312" w:cs="楷体_GB2312"/>
          <w:kern w:val="0"/>
          <w:sz w:val="32"/>
          <w:szCs w:val="32"/>
        </w:rPr>
      </w:pP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_GB2312"/>
          <w:sz w:val="32"/>
          <w:szCs w:val="32"/>
          <w:lang w:val="en-US"/>
        </w:rPr>
      </w:pPr>
      <w:bookmarkStart w:id="0" w:name="_GoBack"/>
      <w:bookmarkEnd w:id="0"/>
      <w:r>
        <w:rPr>
          <w:rFonts w:hint="eastAsia" w:ascii="黑体" w:hAnsi="黑体" w:eastAsia="黑体" w:cs="黑体"/>
          <w:b w:val="0"/>
          <w:bCs/>
          <w:kern w:val="2"/>
          <w:sz w:val="32"/>
          <w:szCs w:val="32"/>
          <w:lang w:val="en-US" w:eastAsia="zh-CN" w:bidi="ar"/>
        </w:rPr>
        <w:t>第一条</w:t>
      </w:r>
      <w:r>
        <w:rPr>
          <w:rFonts w:hint="eastAsia" w:ascii="仿宋_GB2312" w:hAnsi="Times New Roman" w:eastAsia="仿宋_GB2312" w:cs="仿宋_GB2312"/>
          <w:b w:val="0"/>
          <w:bCs/>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 xml:space="preserve"> 为保障公共安全和公民人身、财产安全，减少环境污染，依据国务院《烟花爆竹安全管理条例》等有关法律、法规的规定，结合本市实际，制定本规定。</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第二条</w:t>
      </w:r>
      <w:r>
        <w:rPr>
          <w:rFonts w:hint="eastAsia" w:ascii="仿宋_GB2312" w:hAnsi="Times New Roman" w:eastAsia="仿宋_GB2312" w:cs="仿宋_GB2312"/>
          <w:kern w:val="2"/>
          <w:sz w:val="32"/>
          <w:szCs w:val="32"/>
          <w:lang w:val="en-US" w:eastAsia="zh-CN" w:bidi="ar"/>
        </w:rPr>
        <w:t xml:space="preserve">  本规定所称烟花爆竹，是指烟花爆竹制品和用于生产烟花爆竹的民用黑火药、烟火药、引火线等物品。</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 xml:space="preserve">第三条 </w:t>
      </w:r>
      <w:r>
        <w:rPr>
          <w:rFonts w:hint="eastAsia" w:ascii="仿宋_GB2312" w:hAnsi="Times New Roman" w:eastAsia="仿宋_GB2312" w:cs="仿宋_GB2312"/>
          <w:kern w:val="2"/>
          <w:sz w:val="32"/>
          <w:szCs w:val="32"/>
          <w:lang w:val="en-US" w:eastAsia="zh-CN" w:bidi="ar"/>
        </w:rPr>
        <w:t xml:space="preserve"> 本规定由本市各级人民政府组织实施。</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公安部门是禁止燃放烟花爆竹工作的主管机关。</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安全生产监督管理、工商行政管理、质量技术监督、交通运输、城市管理、环境保护、民政、教育、供销等单位按照各自职责，依法做好禁止燃放烟花爆竹的相关工作。</w:t>
      </w:r>
    </w:p>
    <w:p>
      <w:pPr>
        <w:keepNext w:val="0"/>
        <w:keepLines w:val="0"/>
        <w:widowControl w:val="0"/>
        <w:suppressLineNumbers w:val="0"/>
        <w:spacing w:before="0" w:beforeAutospacing="0" w:after="0" w:afterAutospacing="0" w:line="580" w:lineRule="exact"/>
        <w:ind w:left="0" w:right="0" w:firstLine="645"/>
        <w:jc w:val="both"/>
        <w:rPr>
          <w:rFonts w:hint="eastAsia" w:ascii="仿宋_GB2312" w:eastAsia="仿宋_GB2312" w:cs="楷体"/>
          <w:sz w:val="32"/>
          <w:szCs w:val="32"/>
          <w:lang w:val="en-US"/>
        </w:rPr>
      </w:pPr>
      <w:r>
        <w:rPr>
          <w:rFonts w:hint="eastAsia" w:ascii="仿宋_GB2312" w:hAnsi="Times New Roman" w:eastAsia="仿宋_GB2312" w:cs="仿宋_GB2312"/>
          <w:kern w:val="2"/>
          <w:sz w:val="32"/>
          <w:szCs w:val="32"/>
          <w:lang w:val="en-US" w:eastAsia="zh-CN" w:bidi="ar"/>
        </w:rPr>
        <w:t>街道办事处、社区居民委员会、村民委员会、物业服务企业应当协助做好实施工作。</w:t>
      </w:r>
    </w:p>
    <w:p>
      <w:pPr>
        <w:pStyle w:val="5"/>
        <w:widowControl/>
        <w:shd w:val="clear" w:fill="FFFFFF"/>
        <w:spacing w:before="0" w:beforeAutospacing="0" w:after="0" w:afterAutospacing="0" w:line="580" w:lineRule="exact"/>
        <w:ind w:left="0" w:right="0" w:firstLine="640" w:firstLineChars="200"/>
        <w:jc w:val="both"/>
        <w:rPr>
          <w:rFonts w:hint="eastAsia" w:ascii="仿宋_GB2312" w:hAnsi="Times New Roman" w:eastAsia="仿宋_GB2312" w:cs="仿宋_GB2312"/>
          <w:kern w:val="2"/>
          <w:sz w:val="32"/>
          <w:szCs w:val="32"/>
          <w:lang w:val="en-US" w:eastAsia="zh-CN" w:bidi="ar"/>
        </w:rPr>
      </w:pPr>
      <w:r>
        <w:rPr>
          <w:rFonts w:hint="eastAsia" w:ascii="黑体" w:hAnsi="黑体" w:eastAsia="黑体" w:cs="黑体"/>
          <w:b w:val="0"/>
          <w:bCs/>
          <w:kern w:val="2"/>
          <w:sz w:val="32"/>
          <w:szCs w:val="32"/>
          <w:lang w:val="en-US" w:eastAsia="zh-CN" w:bidi="ar"/>
        </w:rPr>
        <w:t>第四条</w:t>
      </w:r>
      <w:r>
        <w:rPr>
          <w:rFonts w:hint="eastAsia" w:ascii="仿宋_GB2312" w:eastAsia="仿宋_GB2312" w:cs="Times New Roman"/>
          <w:b/>
          <w:kern w:val="2"/>
          <w:sz w:val="32"/>
          <w:szCs w:val="32"/>
          <w:shd w:val="clear" w:fill="FFFFFF"/>
          <w:lang w:eastAsia="zh-CN"/>
        </w:rPr>
        <w:t xml:space="preserve"> </w:t>
      </w:r>
      <w:r>
        <w:rPr>
          <w:rFonts w:hint="eastAsia" w:ascii="仿宋_GB2312" w:eastAsia="仿宋_GB2312" w:cs="Times New Roman"/>
          <w:kern w:val="2"/>
          <w:sz w:val="32"/>
          <w:szCs w:val="32"/>
          <w:shd w:val="clear" w:fill="FFFFFF"/>
          <w:lang w:eastAsia="zh-CN"/>
        </w:rPr>
        <w:t xml:space="preserve"> </w:t>
      </w:r>
      <w:r>
        <w:rPr>
          <w:rFonts w:hint="eastAsia" w:ascii="仿宋_GB2312" w:hAnsi="Times New Roman" w:eastAsia="仿宋_GB2312" w:cs="仿宋_GB2312"/>
          <w:kern w:val="2"/>
          <w:sz w:val="32"/>
          <w:szCs w:val="32"/>
          <w:lang w:val="en-US" w:eastAsia="zh-CN" w:bidi="ar"/>
        </w:rPr>
        <w:t>禁止在晋中市中心城区燃放烟花爆竹，中心城区范围为：东至环城东路，南至环城南路，西至108国道，北至太旧高速公路。</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
          <w:sz w:val="32"/>
          <w:szCs w:val="32"/>
          <w:lang w:val="en-US"/>
        </w:rPr>
      </w:pPr>
      <w:r>
        <w:rPr>
          <w:rFonts w:hint="eastAsia" w:ascii="黑体" w:hAnsi="黑体" w:eastAsia="黑体" w:cs="黑体"/>
          <w:b w:val="0"/>
          <w:bCs/>
          <w:kern w:val="2"/>
          <w:sz w:val="32"/>
          <w:szCs w:val="32"/>
          <w:lang w:val="en-US" w:eastAsia="zh-CN" w:bidi="ar"/>
        </w:rPr>
        <w:t xml:space="preserve">第五条 </w:t>
      </w:r>
      <w:r>
        <w:rPr>
          <w:rFonts w:hint="eastAsia" w:ascii="仿宋_GB2312" w:hAnsi="Times New Roman" w:eastAsia="仿宋_GB2312" w:cs="仿宋"/>
          <w:kern w:val="2"/>
          <w:sz w:val="32"/>
          <w:szCs w:val="32"/>
          <w:lang w:val="en-US" w:eastAsia="zh-CN" w:bidi="ar"/>
        </w:rPr>
        <w:t xml:space="preserve"> 本市行政区域内，下列地点禁止燃放烟花爆竹：</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
          <w:sz w:val="32"/>
          <w:szCs w:val="32"/>
          <w:lang w:val="en-US"/>
        </w:rPr>
      </w:pPr>
      <w:r>
        <w:rPr>
          <w:rFonts w:hint="eastAsia" w:ascii="仿宋_GB2312" w:hAnsi="Times New Roman" w:eastAsia="仿宋_GB2312" w:cs="仿宋"/>
          <w:kern w:val="2"/>
          <w:sz w:val="32"/>
          <w:szCs w:val="32"/>
          <w:lang w:val="en-US" w:eastAsia="zh-CN" w:bidi="ar"/>
        </w:rPr>
        <w:t>(一)文物保护单位;</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
          <w:sz w:val="32"/>
          <w:szCs w:val="32"/>
          <w:lang w:val="en-US"/>
        </w:rPr>
      </w:pPr>
      <w:r>
        <w:rPr>
          <w:rFonts w:hint="eastAsia" w:ascii="仿宋_GB2312" w:hAnsi="Times New Roman" w:eastAsia="仿宋_GB2312" w:cs="仿宋"/>
          <w:kern w:val="2"/>
          <w:sz w:val="32"/>
          <w:szCs w:val="32"/>
          <w:lang w:val="en-US" w:eastAsia="zh-CN" w:bidi="ar"/>
        </w:rPr>
        <w:t>(二)汽车站、火车站、轻轨站等交通枢纽以及铁路线路安全保护区内;</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
          <w:sz w:val="32"/>
          <w:szCs w:val="32"/>
          <w:lang w:val="en-US"/>
        </w:rPr>
      </w:pPr>
      <w:r>
        <w:rPr>
          <w:rFonts w:hint="eastAsia" w:ascii="仿宋_GB2312" w:hAnsi="Times New Roman" w:eastAsia="仿宋_GB2312" w:cs="仿宋"/>
          <w:kern w:val="2"/>
          <w:sz w:val="32"/>
          <w:szCs w:val="32"/>
          <w:lang w:val="en-US" w:eastAsia="zh-CN" w:bidi="ar"/>
        </w:rPr>
        <w:t>(三)易燃易爆物品生产、储存、经营单位;</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
          <w:sz w:val="32"/>
          <w:szCs w:val="32"/>
          <w:lang w:val="en-US"/>
        </w:rPr>
      </w:pPr>
      <w:r>
        <w:rPr>
          <w:rFonts w:hint="eastAsia" w:ascii="仿宋_GB2312" w:hAnsi="Times New Roman" w:eastAsia="仿宋_GB2312" w:cs="仿宋"/>
          <w:kern w:val="2"/>
          <w:sz w:val="32"/>
          <w:szCs w:val="32"/>
          <w:lang w:val="en-US" w:eastAsia="zh-CN" w:bidi="ar"/>
        </w:rPr>
        <w:t>(四)输变电设施安全保护区内;</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
          <w:sz w:val="32"/>
          <w:szCs w:val="32"/>
          <w:lang w:val="en-US"/>
        </w:rPr>
      </w:pPr>
      <w:r>
        <w:rPr>
          <w:rFonts w:hint="eastAsia" w:ascii="仿宋_GB2312" w:hAnsi="Times New Roman" w:eastAsia="仿宋_GB2312" w:cs="仿宋"/>
          <w:kern w:val="2"/>
          <w:sz w:val="32"/>
          <w:szCs w:val="32"/>
          <w:lang w:val="en-US" w:eastAsia="zh-CN" w:bidi="ar"/>
        </w:rPr>
        <w:t>(五)医疗机构、幼儿园、学校、敬老院；</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
          <w:sz w:val="32"/>
          <w:szCs w:val="32"/>
          <w:lang w:val="en-US"/>
        </w:rPr>
      </w:pPr>
      <w:r>
        <w:rPr>
          <w:rFonts w:hint="eastAsia" w:ascii="仿宋_GB2312" w:hAnsi="Times New Roman" w:eastAsia="仿宋_GB2312" w:cs="仿宋"/>
          <w:kern w:val="2"/>
          <w:sz w:val="32"/>
          <w:szCs w:val="32"/>
          <w:lang w:val="en-US" w:eastAsia="zh-CN" w:bidi="ar"/>
        </w:rPr>
        <w:t>(六)城市主次干道、桥梁和地下空间;</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
          <w:sz w:val="32"/>
          <w:szCs w:val="32"/>
          <w:lang w:val="en-US"/>
        </w:rPr>
      </w:pPr>
      <w:r>
        <w:rPr>
          <w:rFonts w:hint="eastAsia" w:ascii="仿宋_GB2312" w:hAnsi="Times New Roman" w:eastAsia="仿宋_GB2312" w:cs="仿宋"/>
          <w:kern w:val="2"/>
          <w:sz w:val="32"/>
          <w:szCs w:val="32"/>
          <w:lang w:val="en-US" w:eastAsia="zh-CN" w:bidi="ar"/>
        </w:rPr>
        <w:t>(七)风景名胜区和林地、公共绿地、苗圃等重点防火区;</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
          <w:sz w:val="32"/>
          <w:szCs w:val="32"/>
          <w:lang w:val="en-US"/>
        </w:rPr>
      </w:pPr>
      <w:r>
        <w:rPr>
          <w:rFonts w:hint="eastAsia" w:ascii="仿宋_GB2312" w:hAnsi="Times New Roman" w:eastAsia="仿宋_GB2312" w:cs="仿宋"/>
          <w:kern w:val="2"/>
          <w:sz w:val="32"/>
          <w:szCs w:val="32"/>
          <w:lang w:val="en-US" w:eastAsia="zh-CN" w:bidi="ar"/>
        </w:rPr>
        <w:t>(八)商场、集贸市场、文化娱乐场所等人员密集场所。</w:t>
      </w:r>
    </w:p>
    <w:p>
      <w:pPr>
        <w:keepNext w:val="0"/>
        <w:keepLines w:val="0"/>
        <w:widowControl w:val="0"/>
        <w:suppressLineNumbers w:val="0"/>
        <w:spacing w:before="0" w:beforeAutospacing="0" w:after="0" w:afterAutospacing="0" w:line="560" w:lineRule="exact"/>
        <w:ind w:left="0" w:right="0" w:firstLine="645"/>
        <w:jc w:val="both"/>
        <w:rPr>
          <w:rFonts w:hint="eastAsia" w:asci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第六条</w:t>
      </w:r>
      <w:r>
        <w:rPr>
          <w:rFonts w:hint="eastAsia" w:ascii="仿宋_GB2312" w:hAnsi="Times New Roman" w:eastAsia="仿宋_GB2312" w:cs="仿宋"/>
          <w:kern w:val="2"/>
          <w:sz w:val="32"/>
          <w:szCs w:val="32"/>
          <w:lang w:val="en-US" w:eastAsia="zh-CN" w:bidi="ar"/>
        </w:rPr>
        <w:t xml:space="preserve">  本市行政区域内，重污染天气预警期间，</w:t>
      </w:r>
      <w:r>
        <w:rPr>
          <w:rFonts w:hint="eastAsia" w:ascii="仿宋_GB2312" w:hAnsi="Times New Roman" w:eastAsia="仿宋_GB2312" w:cs="仿宋_GB2312"/>
          <w:kern w:val="2"/>
          <w:sz w:val="32"/>
          <w:szCs w:val="32"/>
          <w:lang w:val="en-US" w:eastAsia="zh-CN" w:bidi="ar"/>
        </w:rPr>
        <w:t>预警范围内禁止燃放烟花爆竹。</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
          <w:sz w:val="32"/>
          <w:szCs w:val="32"/>
          <w:lang w:val="en-US"/>
        </w:rPr>
      </w:pPr>
      <w:r>
        <w:rPr>
          <w:rFonts w:hint="eastAsia" w:ascii="仿宋_GB2312" w:hAnsi="Times New Roman" w:eastAsia="仿宋_GB2312" w:cs="仿宋"/>
          <w:kern w:val="2"/>
          <w:sz w:val="32"/>
          <w:szCs w:val="32"/>
          <w:lang w:val="en-US" w:eastAsia="zh-CN" w:bidi="ar"/>
        </w:rPr>
        <w:t>市人民政府应当及时向社会发布重污染天气预警信息。</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
          <w:sz w:val="32"/>
          <w:szCs w:val="32"/>
          <w:lang w:val="en-US"/>
        </w:rPr>
      </w:pPr>
      <w:r>
        <w:rPr>
          <w:rFonts w:hint="eastAsia" w:ascii="黑体" w:hAnsi="黑体" w:eastAsia="黑体" w:cs="黑体"/>
          <w:b w:val="0"/>
          <w:bCs/>
          <w:kern w:val="2"/>
          <w:sz w:val="32"/>
          <w:szCs w:val="32"/>
          <w:lang w:val="en-US" w:eastAsia="zh-CN" w:bidi="ar"/>
        </w:rPr>
        <w:t xml:space="preserve">第七条 </w:t>
      </w:r>
      <w:r>
        <w:rPr>
          <w:rFonts w:hint="eastAsia" w:ascii="仿宋_GB2312" w:hAnsi="Times New Roman" w:eastAsia="仿宋_GB2312" w:cs="仿宋"/>
          <w:kern w:val="2"/>
          <w:sz w:val="32"/>
          <w:szCs w:val="32"/>
          <w:lang w:val="en-US" w:eastAsia="zh-CN" w:bidi="ar"/>
        </w:rPr>
        <w:t xml:space="preserve"> 在禁止燃放烟花爆竹区域和地点，任何单位和个人不得生产、储存、运输、销售烟花爆竹。</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
          <w:sz w:val="32"/>
          <w:szCs w:val="32"/>
          <w:lang w:val="en-US"/>
        </w:rPr>
      </w:pPr>
      <w:r>
        <w:rPr>
          <w:rFonts w:hint="eastAsia" w:ascii="黑体" w:hAnsi="黑体" w:eastAsia="黑体" w:cs="黑体"/>
          <w:b w:val="0"/>
          <w:bCs/>
          <w:kern w:val="2"/>
          <w:sz w:val="32"/>
          <w:szCs w:val="32"/>
          <w:lang w:val="en-US" w:eastAsia="zh-CN" w:bidi="ar"/>
        </w:rPr>
        <w:t>第八条</w:t>
      </w:r>
      <w:r>
        <w:rPr>
          <w:rFonts w:hint="eastAsia" w:ascii="仿宋_GB2312" w:hAnsi="Times New Roman" w:eastAsia="仿宋_GB2312" w:cs="仿宋"/>
          <w:kern w:val="2"/>
          <w:sz w:val="32"/>
          <w:szCs w:val="32"/>
          <w:lang w:val="en-US" w:eastAsia="zh-CN" w:bidi="ar"/>
        </w:rPr>
        <w:t xml:space="preserve">  本市各级人民政府及其有关部门应当组织开展禁止燃放烟花爆竹的宣传活动。</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
          <w:sz w:val="32"/>
          <w:szCs w:val="32"/>
          <w:lang w:val="en-US"/>
        </w:rPr>
      </w:pPr>
      <w:r>
        <w:rPr>
          <w:rFonts w:hint="eastAsia" w:ascii="仿宋_GB2312" w:hAnsi="Times New Roman" w:eastAsia="仿宋_GB2312" w:cs="仿宋"/>
          <w:kern w:val="2"/>
          <w:sz w:val="32"/>
          <w:szCs w:val="32"/>
          <w:lang w:val="en-US" w:eastAsia="zh-CN" w:bidi="ar"/>
        </w:rPr>
        <w:t>新闻媒体应当做好禁止燃放烟花爆竹的公益宣传。</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
          <w:sz w:val="32"/>
          <w:szCs w:val="32"/>
          <w:lang w:val="en-US"/>
        </w:rPr>
      </w:pPr>
      <w:r>
        <w:rPr>
          <w:rFonts w:hint="eastAsia" w:ascii="仿宋_GB2312" w:hAnsi="Times New Roman" w:eastAsia="仿宋_GB2312" w:cs="仿宋"/>
          <w:kern w:val="2"/>
          <w:sz w:val="32"/>
          <w:szCs w:val="32"/>
          <w:lang w:val="en-US" w:eastAsia="zh-CN" w:bidi="ar"/>
        </w:rPr>
        <w:t>学校和未成年人的监护人应当对未成年人开展禁止燃放烟花爆竹的教育。</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
          <w:sz w:val="32"/>
          <w:szCs w:val="32"/>
          <w:lang w:val="en-US"/>
        </w:rPr>
      </w:pPr>
      <w:r>
        <w:rPr>
          <w:rFonts w:hint="eastAsia" w:ascii="仿宋_GB2312" w:hAnsi="Times New Roman" w:eastAsia="仿宋_GB2312" w:cs="仿宋"/>
          <w:color w:val="000000"/>
          <w:kern w:val="2"/>
          <w:sz w:val="32"/>
          <w:szCs w:val="32"/>
          <w:lang w:val="en-US" w:eastAsia="zh-CN" w:bidi="ar"/>
        </w:rPr>
        <w:t>鼓励社会组织和个人参与禁止燃放烟花爆竹志愿服务活动。</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
          <w:sz w:val="32"/>
          <w:szCs w:val="32"/>
          <w:lang w:val="en-US"/>
        </w:rPr>
      </w:pPr>
      <w:r>
        <w:rPr>
          <w:rFonts w:hint="eastAsia" w:ascii="黑体" w:hAnsi="黑体" w:eastAsia="黑体" w:cs="黑体"/>
          <w:b w:val="0"/>
          <w:bCs/>
          <w:kern w:val="2"/>
          <w:sz w:val="32"/>
          <w:szCs w:val="32"/>
          <w:lang w:val="en-US" w:eastAsia="zh-CN" w:bidi="ar"/>
        </w:rPr>
        <w:t>第九条</w:t>
      </w:r>
      <w:r>
        <w:rPr>
          <w:rFonts w:hint="eastAsia" w:ascii="仿宋_GB2312" w:hAnsi="Times New Roman" w:eastAsia="仿宋_GB2312" w:cs="仿宋"/>
          <w:kern w:val="2"/>
          <w:sz w:val="32"/>
          <w:szCs w:val="32"/>
          <w:lang w:val="en-US" w:eastAsia="zh-CN" w:bidi="ar"/>
        </w:rPr>
        <w:t xml:space="preserve"> 任何人均有权对违法生产、储存、运输、销售、燃放烟花爆竹的行为进行劝阻或举报。</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
          <w:sz w:val="32"/>
          <w:szCs w:val="32"/>
          <w:lang w:val="en-US"/>
        </w:rPr>
      </w:pPr>
      <w:r>
        <w:rPr>
          <w:rFonts w:hint="eastAsia" w:ascii="黑体" w:hAnsi="黑体" w:eastAsia="黑体" w:cs="黑体"/>
          <w:b w:val="0"/>
          <w:bCs/>
          <w:kern w:val="2"/>
          <w:sz w:val="32"/>
          <w:szCs w:val="32"/>
          <w:lang w:val="en-US" w:eastAsia="zh-CN" w:bidi="ar"/>
        </w:rPr>
        <w:t>第十条</w:t>
      </w:r>
      <w:r>
        <w:rPr>
          <w:rFonts w:hint="eastAsia" w:ascii="仿宋_GB2312" w:hAnsi="Times New Roman" w:eastAsia="仿宋_GB2312" w:cs="仿宋"/>
          <w:kern w:val="2"/>
          <w:sz w:val="32"/>
          <w:szCs w:val="32"/>
          <w:lang w:val="en-US" w:eastAsia="zh-CN" w:bidi="ar"/>
        </w:rPr>
        <w:t xml:space="preserve">  社区居民委员会、村民委员会、业主委员会，可以根据本规定就禁止燃放烟花爆竹事项制定公约，并组织监督实施。</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
          <w:sz w:val="32"/>
          <w:szCs w:val="32"/>
          <w:lang w:val="en-US"/>
        </w:rPr>
      </w:pPr>
      <w:r>
        <w:rPr>
          <w:rFonts w:hint="eastAsia" w:ascii="黑体" w:hAnsi="黑体" w:eastAsia="黑体" w:cs="黑体"/>
          <w:b w:val="0"/>
          <w:bCs/>
          <w:kern w:val="2"/>
          <w:sz w:val="32"/>
          <w:szCs w:val="32"/>
          <w:lang w:val="en-US" w:eastAsia="zh-CN" w:bidi="ar"/>
        </w:rPr>
        <w:t>第十一条</w:t>
      </w:r>
      <w:r>
        <w:rPr>
          <w:rFonts w:hint="eastAsia" w:ascii="仿宋_GB2312" w:hAnsi="Times New Roman" w:eastAsia="仿宋_GB2312" w:cs="仿宋"/>
          <w:kern w:val="2"/>
          <w:sz w:val="32"/>
          <w:szCs w:val="32"/>
          <w:lang w:val="en-US" w:eastAsia="zh-CN" w:bidi="ar"/>
        </w:rPr>
        <w:t xml:space="preserve">  禁止燃放区域内的社区居民委员会、村民委员会、物业服务企业，从事婚庆、殡仪等服务单位和个人以及承办宴席服务的饭店、酒店、宾馆等经营者，应当对管理和服务区域内燃放烟花爆竹的行为予以劝导或劝阻。劝导、劝阻无效的，应当及时向公安机关报告。</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
          <w:sz w:val="32"/>
          <w:szCs w:val="32"/>
          <w:lang w:val="en-US"/>
        </w:rPr>
      </w:pPr>
      <w:r>
        <w:rPr>
          <w:rFonts w:hint="eastAsia" w:ascii="黑体" w:hAnsi="黑体" w:eastAsia="黑体" w:cs="黑体"/>
          <w:b w:val="0"/>
          <w:bCs/>
          <w:kern w:val="2"/>
          <w:sz w:val="32"/>
          <w:szCs w:val="32"/>
          <w:lang w:val="en-US" w:eastAsia="zh-CN" w:bidi="ar"/>
        </w:rPr>
        <w:t>第十二条</w:t>
      </w:r>
      <w:r>
        <w:rPr>
          <w:rFonts w:hint="eastAsia" w:ascii="仿宋_GB2312" w:hAnsi="Times New Roman" w:eastAsia="仿宋_GB2312" w:cs="仿宋"/>
          <w:kern w:val="2"/>
          <w:sz w:val="32"/>
          <w:szCs w:val="32"/>
          <w:lang w:val="en-US" w:eastAsia="zh-CN" w:bidi="ar"/>
        </w:rPr>
        <w:t xml:space="preserve">  违反本规定，法律、法规已有法律责任规定的，从其规定。</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
          <w:sz w:val="32"/>
          <w:szCs w:val="32"/>
          <w:lang w:val="en-US"/>
        </w:rPr>
      </w:pPr>
      <w:r>
        <w:rPr>
          <w:rFonts w:hint="eastAsia" w:ascii="黑体" w:hAnsi="黑体" w:eastAsia="黑体" w:cs="黑体"/>
          <w:b w:val="0"/>
          <w:bCs/>
          <w:kern w:val="2"/>
          <w:sz w:val="32"/>
          <w:szCs w:val="32"/>
          <w:lang w:val="en-US" w:eastAsia="zh-CN" w:bidi="ar"/>
        </w:rPr>
        <w:t xml:space="preserve">第十三条 </w:t>
      </w:r>
      <w:r>
        <w:rPr>
          <w:rFonts w:hint="eastAsia" w:ascii="仿宋_GB2312" w:hAnsi="Times New Roman" w:eastAsia="仿宋_GB2312" w:cs="仿宋"/>
          <w:kern w:val="2"/>
          <w:sz w:val="32"/>
          <w:szCs w:val="32"/>
          <w:lang w:val="en-US" w:eastAsia="zh-CN" w:bidi="ar"/>
        </w:rPr>
        <w:t xml:space="preserve"> 在禁止燃放烟花爆竹的区域和地点燃放烟花爆竹，由公安机关责令停止燃放，处一百元以上五百元以下罚款；构成违反治安管理行为的，依法给予治安管理处罚。</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
          <w:sz w:val="32"/>
          <w:szCs w:val="32"/>
          <w:lang w:val="en-US"/>
        </w:rPr>
      </w:pPr>
      <w:r>
        <w:rPr>
          <w:rFonts w:hint="eastAsia" w:ascii="黑体" w:hAnsi="黑体" w:eastAsia="黑体" w:cs="黑体"/>
          <w:b w:val="0"/>
          <w:bCs/>
          <w:kern w:val="2"/>
          <w:sz w:val="32"/>
          <w:szCs w:val="32"/>
          <w:lang w:val="en-US" w:eastAsia="zh-CN" w:bidi="ar"/>
        </w:rPr>
        <w:t xml:space="preserve">第十四条 </w:t>
      </w:r>
      <w:r>
        <w:rPr>
          <w:rFonts w:hint="eastAsia" w:ascii="仿宋_GB2312" w:hAnsi="Times New Roman" w:eastAsia="仿宋_GB2312" w:cs="仿宋"/>
          <w:kern w:val="2"/>
          <w:sz w:val="32"/>
          <w:szCs w:val="32"/>
          <w:lang w:val="en-US" w:eastAsia="zh-CN" w:bidi="ar"/>
        </w:rPr>
        <w:t xml:space="preserve"> 违反本规定，给国家、集体财产造成损失或者造成他人人身伤害、财产损失的，依法承担赔偿责任，并依法予以处罚;构成犯罪的，依法追究刑事责任。</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
          <w:sz w:val="32"/>
          <w:szCs w:val="32"/>
          <w:lang w:val="en-US"/>
        </w:rPr>
      </w:pPr>
      <w:r>
        <w:rPr>
          <w:rFonts w:hint="eastAsia" w:ascii="黑体" w:hAnsi="黑体" w:eastAsia="黑体" w:cs="黑体"/>
          <w:b w:val="0"/>
          <w:bCs/>
          <w:kern w:val="2"/>
          <w:sz w:val="32"/>
          <w:szCs w:val="32"/>
          <w:lang w:val="en-US" w:eastAsia="zh-CN" w:bidi="ar"/>
        </w:rPr>
        <w:t xml:space="preserve">第十五条 </w:t>
      </w:r>
      <w:r>
        <w:rPr>
          <w:rFonts w:hint="eastAsia" w:ascii="仿宋_GB2312" w:hAnsi="Times New Roman" w:eastAsia="仿宋_GB2312" w:cs="仿宋"/>
          <w:kern w:val="2"/>
          <w:sz w:val="32"/>
          <w:szCs w:val="32"/>
          <w:lang w:val="en-US" w:eastAsia="zh-CN" w:bidi="ar"/>
        </w:rPr>
        <w:t xml:space="preserve"> 公安、安全生产监督管理等部门的工作人员，在烟花爆竹燃放管理工作中滥用职权、玩忽职守、徇私舞弊的，依法给予处分；构成犯罪的，依法追究刑事责任。</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
          <w:sz w:val="32"/>
          <w:szCs w:val="32"/>
          <w:lang w:val="en-US"/>
        </w:rPr>
      </w:pPr>
      <w:r>
        <w:rPr>
          <w:rFonts w:hint="eastAsia" w:ascii="黑体" w:hAnsi="黑体" w:eastAsia="黑体" w:cs="黑体"/>
          <w:b w:val="0"/>
          <w:bCs/>
          <w:kern w:val="2"/>
          <w:sz w:val="32"/>
          <w:szCs w:val="32"/>
          <w:lang w:val="en-US" w:eastAsia="zh-CN" w:bidi="ar"/>
        </w:rPr>
        <w:t>第十六条</w:t>
      </w:r>
      <w:r>
        <w:rPr>
          <w:rFonts w:hint="eastAsia" w:ascii="仿宋_GB2312" w:hAnsi="Times New Roman" w:eastAsia="仿宋_GB2312" w:cs="仿宋"/>
          <w:kern w:val="2"/>
          <w:sz w:val="32"/>
          <w:szCs w:val="32"/>
          <w:lang w:val="en-US" w:eastAsia="zh-CN" w:bidi="ar"/>
        </w:rPr>
        <w:t xml:space="preserve">  重大庆典活动或重要节日需要举办焰火晚会或者其他大型焰火燃放活动的，经主办单位申请，公安机关可根据情况批准其在禁止燃放区域外指定的地点和时间燃放。</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仿宋_GB2312" w:eastAsia="仿宋_GB2312" w:cs="仿宋"/>
          <w:sz w:val="32"/>
          <w:szCs w:val="32"/>
          <w:lang w:val="en-US"/>
        </w:rPr>
      </w:pPr>
      <w:r>
        <w:rPr>
          <w:rFonts w:hint="eastAsia" w:ascii="黑体" w:hAnsi="黑体" w:eastAsia="黑体" w:cs="黑体"/>
          <w:b w:val="0"/>
          <w:bCs/>
          <w:kern w:val="2"/>
          <w:sz w:val="32"/>
          <w:szCs w:val="32"/>
          <w:lang w:val="en-US" w:eastAsia="zh-CN" w:bidi="ar"/>
        </w:rPr>
        <w:t xml:space="preserve">第十七条 </w:t>
      </w:r>
      <w:r>
        <w:rPr>
          <w:rFonts w:hint="eastAsia" w:ascii="仿宋_GB2312" w:hAnsi="Times New Roman" w:eastAsia="仿宋_GB2312" w:cs="仿宋"/>
          <w:kern w:val="2"/>
          <w:sz w:val="32"/>
          <w:szCs w:val="32"/>
          <w:lang w:val="en-US" w:eastAsia="zh-CN" w:bidi="ar"/>
        </w:rPr>
        <w:t xml:space="preserve"> 对未经许可举办焰火晚会以及其他大型焰火燃放活动，或者焰火晚会以及其他大型焰火燃放活动燃放作业单位和作业人员违反焰火燃放安全规程、燃放作业方案进行燃放作业的，由公安部门责令停止燃放，对责任单位处一万元以上五万元以下罚款。</w:t>
      </w:r>
    </w:p>
    <w:p>
      <w:pPr>
        <w:keepNext w:val="0"/>
        <w:keepLines w:val="0"/>
        <w:widowControl w:val="0"/>
        <w:suppressLineNumbers w:val="0"/>
        <w:spacing w:before="0" w:beforeAutospacing="0" w:after="0" w:afterAutospacing="0" w:line="580" w:lineRule="exact"/>
        <w:ind w:left="0" w:right="0" w:firstLine="645"/>
        <w:jc w:val="both"/>
        <w:rPr>
          <w:rFonts w:hint="eastAsia" w:ascii="仿宋_GB2312" w:eastAsia="仿宋_GB2312" w:cs="仿宋"/>
          <w:sz w:val="32"/>
          <w:szCs w:val="32"/>
          <w:lang w:val="en-US"/>
        </w:rPr>
      </w:pPr>
      <w:r>
        <w:rPr>
          <w:rFonts w:hint="eastAsia" w:ascii="黑体" w:hAnsi="黑体" w:eastAsia="黑体" w:cs="黑体"/>
          <w:b w:val="0"/>
          <w:bCs/>
          <w:kern w:val="2"/>
          <w:sz w:val="32"/>
          <w:szCs w:val="32"/>
          <w:lang w:val="en-US" w:eastAsia="zh-CN" w:bidi="ar"/>
        </w:rPr>
        <w:t>第十八条</w:t>
      </w:r>
      <w:r>
        <w:rPr>
          <w:rFonts w:hint="eastAsia" w:ascii="仿宋_GB2312" w:hAnsi="Times New Roman" w:eastAsia="仿宋_GB2312" w:cs="仿宋"/>
          <w:kern w:val="2"/>
          <w:sz w:val="32"/>
          <w:szCs w:val="32"/>
          <w:lang w:val="en-US" w:eastAsia="zh-CN" w:bidi="ar"/>
        </w:rPr>
        <w:t xml:space="preserve">  各县（区、市）人民政府可以结合本地实际，参照本规定确定辖区内禁止燃放烟花爆竹的区域。</w:t>
      </w:r>
    </w:p>
    <w:p>
      <w:pPr>
        <w:keepNext w:val="0"/>
        <w:keepLines w:val="0"/>
        <w:widowControl w:val="0"/>
        <w:suppressLineNumbers w:val="0"/>
        <w:spacing w:before="0" w:beforeAutospacing="0" w:after="0" w:afterAutospacing="0" w:line="580" w:lineRule="exact"/>
        <w:ind w:left="0" w:right="0" w:firstLine="645"/>
        <w:jc w:val="both"/>
        <w:rPr>
          <w:rFonts w:hint="eastAsia" w:ascii="仿宋_GB2312" w:eastAsia="仿宋_GB2312" w:cs="仿宋"/>
          <w:sz w:val="32"/>
          <w:szCs w:val="32"/>
          <w:lang w:val="en-US"/>
        </w:rPr>
      </w:pPr>
      <w:r>
        <w:rPr>
          <w:rFonts w:hint="eastAsia" w:ascii="黑体" w:hAnsi="黑体" w:eastAsia="黑体" w:cs="黑体"/>
          <w:b w:val="0"/>
          <w:bCs/>
          <w:kern w:val="2"/>
          <w:sz w:val="32"/>
          <w:szCs w:val="32"/>
          <w:lang w:val="en-US" w:eastAsia="zh-CN" w:bidi="ar"/>
        </w:rPr>
        <w:t>第十九条</w:t>
      </w:r>
      <w:r>
        <w:rPr>
          <w:rFonts w:hint="eastAsia" w:ascii="仿宋_GB2312" w:hAnsi="Times New Roman" w:eastAsia="仿宋_GB2312" w:cs="仿宋"/>
          <w:kern w:val="2"/>
          <w:sz w:val="32"/>
          <w:szCs w:val="32"/>
          <w:lang w:val="en-US" w:eastAsia="zh-CN" w:bidi="ar"/>
        </w:rPr>
        <w:t xml:space="preserve">  本规定自公布之日起施行。</w:t>
      </w:r>
      <w:r>
        <w:rPr>
          <w:rFonts w:hint="eastAsia" w:ascii="仿宋_GB2312" w:hAnsi="Times New Roman" w:eastAsia="仿宋_GB2312" w:cs="仿宋"/>
          <w:kern w:val="2"/>
          <w:sz w:val="32"/>
          <w:szCs w:val="32"/>
          <w:lang w:val="en-US" w:eastAsia="zh-CN" w:bidi="ar"/>
        </w:rPr>
        <w:tab/>
      </w:r>
    </w:p>
    <w:p>
      <w:pPr>
        <w:ind w:firstLine="640"/>
        <w:rPr>
          <w:rFonts w:hint="eastAsia" w:ascii="黑体" w:hAnsi="黑体" w:eastAsia="黑体" w:cs="黑体"/>
          <w:b/>
          <w:bCs/>
          <w:sz w:val="32"/>
          <w:szCs w:val="32"/>
          <w:lang w:val="en-US" w:eastAsia="zh-CN"/>
        </w:rPr>
      </w:pPr>
    </w:p>
    <w:p>
      <w:pPr>
        <w:spacing w:line="560" w:lineRule="exact"/>
        <w:rPr>
          <w:rFonts w:ascii="仿宋" w:hAnsi="仿宋" w:eastAsia="仿宋" w:cs="仿宋"/>
          <w:sz w:val="32"/>
          <w:szCs w:val="32"/>
        </w:rPr>
      </w:pPr>
      <w:r>
        <w:rPr>
          <w:rFonts w:hint="eastAsia" w:ascii="黑体" w:hAnsi="黑体" w:eastAsia="黑体" w:cs="黑体"/>
          <w:b/>
          <w:bCs/>
          <w:sz w:val="32"/>
          <w:szCs w:val="32"/>
          <w:lang w:val="en-US" w:eastAsia="zh-CN"/>
        </w:rPr>
        <w:t xml:space="preserve">    </w:t>
      </w:r>
    </w:p>
    <w:p>
      <w:pPr>
        <w:spacing w:line="560" w:lineRule="exact"/>
        <w:ind w:firstLine="640" w:firstLineChars="200"/>
        <w:rPr>
          <w:rFonts w:hint="eastAsia" w:ascii="仿宋" w:hAnsi="仿宋" w:eastAsia="仿宋" w:cs="仿宋"/>
          <w:sz w:val="32"/>
          <w:szCs w:val="32"/>
          <w:lang w:eastAsia="zh-CN"/>
        </w:rPr>
      </w:pPr>
    </w:p>
    <w:p>
      <w:pPr>
        <w:numPr>
          <w:ilvl w:val="0"/>
          <w:numId w:val="0"/>
        </w:numPr>
        <w:spacing w:line="560" w:lineRule="exact"/>
        <w:ind w:left="635" w:leftChars="0" w:firstLine="640" w:firstLineChars="200"/>
        <w:rPr>
          <w:rFonts w:hint="eastAsia" w:ascii="仿宋" w:hAnsi="仿宋" w:eastAsia="仿宋" w:cs="仿宋"/>
          <w:sz w:val="32"/>
          <w:szCs w:val="32"/>
          <w:lang w:eastAsia="zh-CN"/>
        </w:rPr>
      </w:pPr>
    </w:p>
    <w:p>
      <w:pPr>
        <w:ind w:firstLine="640"/>
        <w:rPr>
          <w:rFonts w:hint="eastAsia" w:ascii="黑体" w:hAnsi="黑体" w:eastAsia="黑体" w:cs="黑体"/>
          <w:b/>
          <w:bCs/>
          <w:sz w:val="32"/>
          <w:szCs w:val="32"/>
          <w:lang w:val="en-US" w:eastAsia="zh-CN"/>
        </w:rPr>
      </w:pPr>
    </w:p>
    <w:sectPr>
      <w:footerReference r:id="rId3" w:type="default"/>
      <w:pgSz w:w="11907" w:h="16839"/>
      <w:pgMar w:top="2098" w:right="1474" w:bottom="2098" w:left="1587" w:header="851" w:footer="1588" w:gutter="0"/>
      <w:pgNumType w:fmt="numberInDash"/>
      <w:cols w:space="720" w:num="1"/>
      <w:docGrid w:type="lines" w:linePitch="40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onospace">
    <w:altName w:val="Segoe Print"/>
    <w:panose1 w:val="00000000000000000000"/>
    <w:charset w:val="00"/>
    <w:family w:val="auto"/>
    <w:pitch w:val="default"/>
    <w:sig w:usb0="00000000" w:usb1="00000000" w:usb2="00000000" w:usb3="00000000" w:csb0="00000001" w:csb1="00000000"/>
  </w:font>
  <w:font w:name="宋体-PUA">
    <w:altName w:val="宋体"/>
    <w:panose1 w:val="02010600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Latha">
    <w:panose1 w:val="020B0604020202020204"/>
    <w:charset w:val="00"/>
    <w:family w:val="auto"/>
    <w:pitch w:val="default"/>
    <w:sig w:usb0="00100003"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宋体">
    <w:panose1 w:val="02010600030101010101"/>
    <w:charset w:val="86"/>
    <w:family w:val="auto"/>
    <w:pitch w:val="default"/>
    <w:sig w:usb0="00000003" w:usb1="288F0000" w:usb2="0000000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rFonts w:ascii="Calibri" w:hAnsi="Calibri" w:eastAsia="宋体" w:cs="Times New Roman"/>
        <w:kern w:val="2"/>
        <w:sz w:val="18"/>
        <w:szCs w:val="24"/>
        <w:lang w:val="en-US" w:eastAsia="zh-CN" w:bidi="ar-SA"/>
      </w:rPr>
      <w:pict>
        <v:shape id="_x0000_s4110" o:spid="_x0000_s4110" o:spt="202" type="#_x0000_t202" style="position:absolute;left:0pt;margin-left:7.2pt;margin-top:-24pt;height:16.15pt;width:32.65pt;mso-position-horizontal-relative:margin;mso-wrap-style:none;z-index:251671552;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3"/>
                  <w:rPr>
                    <w:rFonts w:hint="eastAsia" w:ascii="宋体-PUA" w:hAnsi="宋体-PUA" w:eastAsia="宋体-PUA" w:cs="宋体-PUA"/>
                    <w:sz w:val="28"/>
                    <w:szCs w:val="28"/>
                  </w:rPr>
                </w:pPr>
                <w:r>
                  <w:rPr>
                    <w:rFonts w:hint="eastAsia" w:ascii="宋体-PUA" w:hAnsi="宋体-PUA" w:eastAsia="宋体-PUA" w:cs="宋体-PUA"/>
                    <w:sz w:val="28"/>
                    <w:szCs w:val="28"/>
                  </w:rPr>
                  <w:fldChar w:fldCharType="begin"/>
                </w:r>
                <w:r>
                  <w:rPr>
                    <w:rFonts w:hint="eastAsia" w:ascii="宋体-PUA" w:hAnsi="宋体-PUA" w:eastAsia="宋体-PUA" w:cs="宋体-PUA"/>
                    <w:sz w:val="28"/>
                    <w:szCs w:val="28"/>
                  </w:rPr>
                  <w:instrText xml:space="preserve">PAGE  </w:instrText>
                </w:r>
                <w:r>
                  <w:rPr>
                    <w:rFonts w:hint="eastAsia" w:ascii="宋体-PUA" w:hAnsi="宋体-PUA" w:eastAsia="宋体-PUA" w:cs="宋体-PUA"/>
                    <w:sz w:val="28"/>
                    <w:szCs w:val="28"/>
                  </w:rPr>
                  <w:fldChar w:fldCharType="separate"/>
                </w:r>
                <w:r>
                  <w:rPr>
                    <w:rFonts w:hint="eastAsia" w:ascii="宋体-PUA" w:hAnsi="宋体-PUA" w:eastAsia="宋体-PUA" w:cs="宋体-PUA"/>
                    <w:sz w:val="28"/>
                    <w:szCs w:val="28"/>
                  </w:rPr>
                  <w:t>15</w:t>
                </w:r>
                <w:r>
                  <w:rPr>
                    <w:rFonts w:hint="eastAsia" w:ascii="宋体-PUA" w:hAnsi="宋体-PUA" w:eastAsia="宋体-PUA" w:cs="宋体-PU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B5D75AC"/>
    <w:rsid w:val="000E045E"/>
    <w:rsid w:val="0012491F"/>
    <w:rsid w:val="0018759B"/>
    <w:rsid w:val="0021402D"/>
    <w:rsid w:val="00247A17"/>
    <w:rsid w:val="002D5763"/>
    <w:rsid w:val="003F6D7B"/>
    <w:rsid w:val="004F33A9"/>
    <w:rsid w:val="0052071E"/>
    <w:rsid w:val="0077671E"/>
    <w:rsid w:val="007969BF"/>
    <w:rsid w:val="00945778"/>
    <w:rsid w:val="00950B54"/>
    <w:rsid w:val="00D37B9D"/>
    <w:rsid w:val="00D55E6C"/>
    <w:rsid w:val="00E26590"/>
    <w:rsid w:val="00E7294B"/>
    <w:rsid w:val="00F16D92"/>
    <w:rsid w:val="00FA4F3C"/>
    <w:rsid w:val="016630D6"/>
    <w:rsid w:val="01763E95"/>
    <w:rsid w:val="01EA3EEB"/>
    <w:rsid w:val="08032BD0"/>
    <w:rsid w:val="08722E24"/>
    <w:rsid w:val="08845F7A"/>
    <w:rsid w:val="08CE7B23"/>
    <w:rsid w:val="0B2E5767"/>
    <w:rsid w:val="0C5335B0"/>
    <w:rsid w:val="0C9617CD"/>
    <w:rsid w:val="0CC95D3F"/>
    <w:rsid w:val="0D00367A"/>
    <w:rsid w:val="0D250B0E"/>
    <w:rsid w:val="0DD74DD7"/>
    <w:rsid w:val="0DF24AE1"/>
    <w:rsid w:val="0E877351"/>
    <w:rsid w:val="0EFF60F4"/>
    <w:rsid w:val="0F743495"/>
    <w:rsid w:val="112E52B0"/>
    <w:rsid w:val="11D34742"/>
    <w:rsid w:val="142865B9"/>
    <w:rsid w:val="142F4802"/>
    <w:rsid w:val="14E11C6B"/>
    <w:rsid w:val="151654A2"/>
    <w:rsid w:val="16442691"/>
    <w:rsid w:val="167C3B86"/>
    <w:rsid w:val="16DF73D1"/>
    <w:rsid w:val="172F0276"/>
    <w:rsid w:val="181D742B"/>
    <w:rsid w:val="18B01158"/>
    <w:rsid w:val="1B5C7968"/>
    <w:rsid w:val="1BAB6F1A"/>
    <w:rsid w:val="1D6D5DCD"/>
    <w:rsid w:val="1E0D132C"/>
    <w:rsid w:val="1E8A1C00"/>
    <w:rsid w:val="1EA3603B"/>
    <w:rsid w:val="202004EB"/>
    <w:rsid w:val="21211CB8"/>
    <w:rsid w:val="22BB3B23"/>
    <w:rsid w:val="22D200E5"/>
    <w:rsid w:val="24087007"/>
    <w:rsid w:val="246C4054"/>
    <w:rsid w:val="24EF687E"/>
    <w:rsid w:val="25602EB7"/>
    <w:rsid w:val="25813FD2"/>
    <w:rsid w:val="25D13729"/>
    <w:rsid w:val="26795A3B"/>
    <w:rsid w:val="26B3375D"/>
    <w:rsid w:val="26EB277F"/>
    <w:rsid w:val="27E55573"/>
    <w:rsid w:val="287E039F"/>
    <w:rsid w:val="295260E1"/>
    <w:rsid w:val="2A7D3A1C"/>
    <w:rsid w:val="2B5B66B9"/>
    <w:rsid w:val="2BCA301B"/>
    <w:rsid w:val="2C9C470C"/>
    <w:rsid w:val="2CC8527D"/>
    <w:rsid w:val="2D3A33B3"/>
    <w:rsid w:val="2D5A7676"/>
    <w:rsid w:val="2D8E2225"/>
    <w:rsid w:val="2EAA2810"/>
    <w:rsid w:val="2EC13008"/>
    <w:rsid w:val="2FBD19DD"/>
    <w:rsid w:val="30A86EEB"/>
    <w:rsid w:val="31CF0BA8"/>
    <w:rsid w:val="31D92171"/>
    <w:rsid w:val="330A1F35"/>
    <w:rsid w:val="35E34A4D"/>
    <w:rsid w:val="364D7526"/>
    <w:rsid w:val="375C158B"/>
    <w:rsid w:val="381F6DA0"/>
    <w:rsid w:val="385F3A0B"/>
    <w:rsid w:val="38DC68D4"/>
    <w:rsid w:val="3A255853"/>
    <w:rsid w:val="3AC50E63"/>
    <w:rsid w:val="3B59226A"/>
    <w:rsid w:val="3B5D75AC"/>
    <w:rsid w:val="3C004CE1"/>
    <w:rsid w:val="3C5756F7"/>
    <w:rsid w:val="3D146D37"/>
    <w:rsid w:val="3DCB0B7C"/>
    <w:rsid w:val="3DF926E2"/>
    <w:rsid w:val="3FA46036"/>
    <w:rsid w:val="4095550C"/>
    <w:rsid w:val="40D25065"/>
    <w:rsid w:val="41DB75BC"/>
    <w:rsid w:val="423A6416"/>
    <w:rsid w:val="4247786D"/>
    <w:rsid w:val="42D16279"/>
    <w:rsid w:val="44AF59AE"/>
    <w:rsid w:val="4672023B"/>
    <w:rsid w:val="46C0371B"/>
    <w:rsid w:val="4836167E"/>
    <w:rsid w:val="494F63F8"/>
    <w:rsid w:val="49D07D09"/>
    <w:rsid w:val="4A6563F3"/>
    <w:rsid w:val="4B2C5678"/>
    <w:rsid w:val="4BC17F58"/>
    <w:rsid w:val="4D472ED5"/>
    <w:rsid w:val="4E7D2B3D"/>
    <w:rsid w:val="50E806F5"/>
    <w:rsid w:val="51435A36"/>
    <w:rsid w:val="51451FF3"/>
    <w:rsid w:val="51A4299B"/>
    <w:rsid w:val="52934AB5"/>
    <w:rsid w:val="52DF59BF"/>
    <w:rsid w:val="53132B59"/>
    <w:rsid w:val="531913FB"/>
    <w:rsid w:val="53427D28"/>
    <w:rsid w:val="53F1713A"/>
    <w:rsid w:val="54CD7786"/>
    <w:rsid w:val="54FC7447"/>
    <w:rsid w:val="55255A5A"/>
    <w:rsid w:val="5597277B"/>
    <w:rsid w:val="57B413F7"/>
    <w:rsid w:val="5881107B"/>
    <w:rsid w:val="589B4259"/>
    <w:rsid w:val="596179C1"/>
    <w:rsid w:val="596D76F6"/>
    <w:rsid w:val="59DB66E6"/>
    <w:rsid w:val="5A17315C"/>
    <w:rsid w:val="5AF37986"/>
    <w:rsid w:val="5BB56135"/>
    <w:rsid w:val="5CBF1CB0"/>
    <w:rsid w:val="5CEF09F9"/>
    <w:rsid w:val="5DA8355B"/>
    <w:rsid w:val="5DAF5520"/>
    <w:rsid w:val="5EBF1A55"/>
    <w:rsid w:val="5EC8585C"/>
    <w:rsid w:val="600B1079"/>
    <w:rsid w:val="600C6C22"/>
    <w:rsid w:val="6098374C"/>
    <w:rsid w:val="618D7A6F"/>
    <w:rsid w:val="61951DE0"/>
    <w:rsid w:val="625A2AC1"/>
    <w:rsid w:val="62647B0D"/>
    <w:rsid w:val="626671FB"/>
    <w:rsid w:val="6267697D"/>
    <w:rsid w:val="63E915B2"/>
    <w:rsid w:val="65360070"/>
    <w:rsid w:val="656172D8"/>
    <w:rsid w:val="66CE3A1B"/>
    <w:rsid w:val="66DB3717"/>
    <w:rsid w:val="682F15FF"/>
    <w:rsid w:val="684F1F2A"/>
    <w:rsid w:val="68C97167"/>
    <w:rsid w:val="69521091"/>
    <w:rsid w:val="695A2B7E"/>
    <w:rsid w:val="6B8D0D02"/>
    <w:rsid w:val="6CA22C5D"/>
    <w:rsid w:val="6D422B93"/>
    <w:rsid w:val="6DE50581"/>
    <w:rsid w:val="6E24444A"/>
    <w:rsid w:val="70361A4D"/>
    <w:rsid w:val="70C665E6"/>
    <w:rsid w:val="71CA7E1E"/>
    <w:rsid w:val="72015B5B"/>
    <w:rsid w:val="72025FA3"/>
    <w:rsid w:val="740375DF"/>
    <w:rsid w:val="741914B8"/>
    <w:rsid w:val="749460B0"/>
    <w:rsid w:val="7745606C"/>
    <w:rsid w:val="77C46EF7"/>
    <w:rsid w:val="77E460B2"/>
    <w:rsid w:val="78106988"/>
    <w:rsid w:val="78A3316A"/>
    <w:rsid w:val="78D06A53"/>
    <w:rsid w:val="7A361CD4"/>
    <w:rsid w:val="7A465080"/>
    <w:rsid w:val="7AD23F82"/>
    <w:rsid w:val="7BED3796"/>
    <w:rsid w:val="7CB56300"/>
    <w:rsid w:val="7CB6682B"/>
    <w:rsid w:val="7D6968F1"/>
    <w:rsid w:val="7D7C51B2"/>
    <w:rsid w:val="7FC97233"/>
    <w:rsid w:val="7FF543B4"/>
  </w:rsids>
  <m:mathPr>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nhideWhenUsed="0" w:uiPriority="99" w:semiHidden="0" w:name="heading 2"/>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iPriority="99"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uiPriority="99" w:name="HTML Preformatted" w:locked="1"/>
    <w:lsdException w:qFormat="1" w:unhideWhenUsed="0" w:uiPriority="99" w:semiHidden="0" w:name="HTML Sample"/>
    <w:lsdException w:uiPriority="99" w:name="HTML Typewriter" w:locked="1"/>
    <w:lsdException w:qFormat="1" w:unhideWhenUsed="0" w:uiPriority="99" w:semiHidden="0" w:name="HTML Variable"/>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link w:val="20"/>
    <w:qFormat/>
    <w:uiPriority w:val="99"/>
    <w:pPr>
      <w:spacing w:beforeAutospacing="1" w:afterAutospacing="1"/>
      <w:jc w:val="left"/>
      <w:outlineLvl w:val="1"/>
    </w:pPr>
    <w:rPr>
      <w:rFonts w:ascii="宋体" w:hAnsi="宋体"/>
      <w:kern w:val="0"/>
      <w:sz w:val="18"/>
      <w:szCs w:val="18"/>
    </w:rPr>
  </w:style>
  <w:style w:type="character" w:default="1" w:styleId="6">
    <w:name w:val="Default Paragraph Font"/>
    <w:link w:val="7"/>
    <w:semiHidden/>
    <w:qFormat/>
    <w:uiPriority w:val="99"/>
    <w:rPr>
      <w:rFonts w:eastAsia="宋体"/>
      <w:spacing w:val="0"/>
      <w:sz w:val="21"/>
    </w:rPr>
  </w:style>
  <w:style w:type="table" w:default="1" w:styleId="19">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3">
    <w:name w:val="footer"/>
    <w:basedOn w:val="1"/>
    <w:link w:val="21"/>
    <w:qFormat/>
    <w:uiPriority w:val="99"/>
    <w:pPr>
      <w:tabs>
        <w:tab w:val="center" w:pos="4153"/>
        <w:tab w:val="right" w:pos="8306"/>
      </w:tabs>
      <w:snapToGrid w:val="0"/>
      <w:jc w:val="left"/>
    </w:pPr>
    <w:rPr>
      <w:sz w:val="18"/>
    </w:rPr>
  </w:style>
  <w:style w:type="paragraph" w:styleId="4">
    <w:name w:val="header"/>
    <w:basedOn w:val="1"/>
    <w:link w:val="22"/>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semiHidden/>
    <w:unhideWhenUsed/>
    <w:locked/>
    <w:uiPriority w:val="99"/>
    <w:pPr>
      <w:keepNext w:val="0"/>
      <w:keepLines w:val="0"/>
      <w:widowControl/>
      <w:suppressLineNumbers w:val="0"/>
      <w:spacing w:before="0" w:beforeAutospacing="1" w:after="0" w:afterAutospacing="1"/>
      <w:ind w:left="0" w:right="0"/>
      <w:jc w:val="left"/>
    </w:pPr>
    <w:rPr>
      <w:rFonts w:hint="eastAsia" w:ascii="宋体" w:hAnsi="Times New Roman" w:eastAsia="宋体" w:cs="宋体"/>
      <w:kern w:val="0"/>
      <w:sz w:val="24"/>
      <w:szCs w:val="24"/>
      <w:lang w:val="en-US" w:eastAsia="zh-CN" w:bidi="ar"/>
    </w:rPr>
  </w:style>
  <w:style w:type="paragraph" w:customStyle="1" w:styleId="7">
    <w:name w:val="Char Char Char Char Char Char Char"/>
    <w:basedOn w:val="1"/>
    <w:link w:val="6"/>
    <w:qFormat/>
    <w:uiPriority w:val="0"/>
    <w:pPr>
      <w:tabs>
        <w:tab w:val="right" w:leader="middleDot" w:pos="600"/>
      </w:tabs>
    </w:pPr>
    <w:rPr>
      <w:rFonts w:eastAsia="宋体"/>
      <w:spacing w:val="0"/>
      <w:sz w:val="21"/>
    </w:rPr>
  </w:style>
  <w:style w:type="character" w:styleId="8">
    <w:name w:val="Strong"/>
    <w:basedOn w:val="6"/>
    <w:qFormat/>
    <w:uiPriority w:val="99"/>
    <w:rPr>
      <w:rFonts w:cs="Times New Roman"/>
      <w:b/>
    </w:rPr>
  </w:style>
  <w:style w:type="character" w:styleId="9">
    <w:name w:val="page number"/>
    <w:basedOn w:val="6"/>
    <w:unhideWhenUsed/>
    <w:qFormat/>
    <w:locked/>
    <w:uiPriority w:val="99"/>
  </w:style>
  <w:style w:type="character" w:styleId="10">
    <w:name w:val="FollowedHyperlink"/>
    <w:basedOn w:val="6"/>
    <w:qFormat/>
    <w:uiPriority w:val="99"/>
    <w:rPr>
      <w:rFonts w:ascii="Arial" w:hAnsi="Arial" w:cs="Arial"/>
      <w:color w:val="333333"/>
      <w:u w:val="none"/>
    </w:rPr>
  </w:style>
  <w:style w:type="character" w:styleId="11">
    <w:name w:val="Emphasis"/>
    <w:basedOn w:val="6"/>
    <w:qFormat/>
    <w:uiPriority w:val="99"/>
    <w:rPr>
      <w:rFonts w:cs="Times New Roman"/>
    </w:rPr>
  </w:style>
  <w:style w:type="character" w:styleId="12">
    <w:name w:val="HTML Definition"/>
    <w:basedOn w:val="6"/>
    <w:qFormat/>
    <w:uiPriority w:val="99"/>
    <w:rPr>
      <w:rFonts w:cs="Times New Roman"/>
    </w:rPr>
  </w:style>
  <w:style w:type="character" w:styleId="13">
    <w:name w:val="HTML Variable"/>
    <w:basedOn w:val="6"/>
    <w:qFormat/>
    <w:uiPriority w:val="99"/>
    <w:rPr>
      <w:rFonts w:cs="Times New Roman"/>
    </w:rPr>
  </w:style>
  <w:style w:type="character" w:styleId="14">
    <w:name w:val="Hyperlink"/>
    <w:basedOn w:val="6"/>
    <w:qFormat/>
    <w:uiPriority w:val="99"/>
    <w:rPr>
      <w:rFonts w:ascii="Arial" w:hAnsi="Arial" w:cs="Arial"/>
      <w:color w:val="333333"/>
      <w:u w:val="none"/>
    </w:rPr>
  </w:style>
  <w:style w:type="character" w:styleId="15">
    <w:name w:val="HTML Code"/>
    <w:basedOn w:val="6"/>
    <w:qFormat/>
    <w:uiPriority w:val="99"/>
    <w:rPr>
      <w:rFonts w:ascii="monospace" w:hAnsi="monospace" w:cs="monospace"/>
      <w:sz w:val="21"/>
      <w:szCs w:val="21"/>
    </w:rPr>
  </w:style>
  <w:style w:type="character" w:styleId="16">
    <w:name w:val="HTML Cite"/>
    <w:basedOn w:val="6"/>
    <w:qFormat/>
    <w:uiPriority w:val="99"/>
    <w:rPr>
      <w:rFonts w:cs="Times New Roman"/>
    </w:rPr>
  </w:style>
  <w:style w:type="character" w:styleId="17">
    <w:name w:val="HTML Keyboard"/>
    <w:basedOn w:val="6"/>
    <w:qFormat/>
    <w:uiPriority w:val="99"/>
    <w:rPr>
      <w:rFonts w:ascii="monospace" w:hAnsi="monospace" w:cs="monospace"/>
      <w:sz w:val="21"/>
      <w:szCs w:val="21"/>
    </w:rPr>
  </w:style>
  <w:style w:type="character" w:styleId="18">
    <w:name w:val="HTML Sample"/>
    <w:basedOn w:val="6"/>
    <w:qFormat/>
    <w:uiPriority w:val="99"/>
    <w:rPr>
      <w:rFonts w:ascii="monospace" w:hAnsi="monospace" w:cs="monospace"/>
      <w:sz w:val="21"/>
      <w:szCs w:val="21"/>
    </w:rPr>
  </w:style>
  <w:style w:type="character" w:customStyle="1" w:styleId="20">
    <w:name w:val="Heading 2 Char"/>
    <w:basedOn w:val="6"/>
    <w:link w:val="2"/>
    <w:semiHidden/>
    <w:locked/>
    <w:uiPriority w:val="99"/>
    <w:rPr>
      <w:rFonts w:ascii="Cambria" w:hAnsi="Cambria" w:eastAsia="宋体" w:cs="Times New Roman"/>
      <w:b/>
      <w:bCs/>
      <w:sz w:val="32"/>
      <w:szCs w:val="32"/>
    </w:rPr>
  </w:style>
  <w:style w:type="character" w:customStyle="1" w:styleId="21">
    <w:name w:val="Footer Char"/>
    <w:basedOn w:val="6"/>
    <w:link w:val="3"/>
    <w:semiHidden/>
    <w:qFormat/>
    <w:locked/>
    <w:uiPriority w:val="99"/>
    <w:rPr>
      <w:rFonts w:ascii="Calibri" w:hAnsi="Calibri" w:cs="Times New Roman"/>
      <w:sz w:val="18"/>
      <w:szCs w:val="18"/>
    </w:rPr>
  </w:style>
  <w:style w:type="character" w:customStyle="1" w:styleId="22">
    <w:name w:val="Header Char"/>
    <w:basedOn w:val="6"/>
    <w:link w:val="4"/>
    <w:semiHidden/>
    <w:qFormat/>
    <w:locked/>
    <w:uiPriority w:val="99"/>
    <w:rPr>
      <w:rFonts w:ascii="Calibri" w:hAnsi="Calibri" w:cs="Times New Roman"/>
      <w:sz w:val="18"/>
      <w:szCs w:val="18"/>
    </w:rPr>
  </w:style>
  <w:style w:type="character" w:customStyle="1" w:styleId="23">
    <w:name w:val="fontstrikethrough"/>
    <w:basedOn w:val="6"/>
    <w:qFormat/>
    <w:uiPriority w:val="99"/>
    <w:rPr>
      <w:rFonts w:cs="Times New Roman"/>
      <w:strike/>
    </w:rPr>
  </w:style>
  <w:style w:type="character" w:customStyle="1" w:styleId="24">
    <w:name w:val="fontborder"/>
    <w:basedOn w:val="6"/>
    <w:qFormat/>
    <w:uiPriority w:val="99"/>
    <w:rPr>
      <w:rFonts w:cs="Times New Roman"/>
      <w:bdr w:val="single" w:color="000000" w:sz="6" w:space="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11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9</Pages>
  <Words>622</Words>
  <Characters>3548</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2017-04-25T08:07:00Z</dcterms:created>
  <dc:creator>Administrator</dc:creator>
  <cp:lastModifiedBy>此生无悔</cp:lastModifiedBy>
  <cp:lastPrinted>2017-11-29T06:55:00Z</cp:lastPrinted>
  <dcterms:modified xsi:type="dcterms:W3CDTF">2018-02-07T02:54:16Z</dcterms:modified>
  <dc:title>晋中市人大法制委员会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