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line="560" w:lineRule="exact"/>
        <w:rPr>
          <w:rFonts w:ascii="宋体" w:hAnsi="宋体" w:eastAsia="宋体" w:cs="方正小标宋简体"/>
          <w:color w:val="000000"/>
          <w:spacing w:val="-20"/>
          <w:kern w:val="0"/>
          <w:szCs w:val="32"/>
        </w:rPr>
      </w:pPr>
    </w:p>
    <w:p>
      <w:pPr>
        <w:widowControl/>
        <w:shd w:val="clear" w:color="auto" w:fill="FFFFFF"/>
        <w:spacing w:line="560" w:lineRule="exact"/>
        <w:rPr>
          <w:rFonts w:ascii="宋体" w:hAnsi="宋体" w:eastAsia="宋体" w:cs="方正小标宋简体"/>
          <w:color w:val="000000"/>
          <w:spacing w:val="-20"/>
          <w:kern w:val="0"/>
          <w:szCs w:val="32"/>
        </w:rPr>
      </w:pPr>
    </w:p>
    <w:p>
      <w:pPr>
        <w:widowControl/>
        <w:shd w:val="clear" w:color="auto" w:fill="FFFFFF"/>
        <w:spacing w:line="560" w:lineRule="exact"/>
        <w:jc w:val="center"/>
        <w:rPr>
          <w:rFonts w:ascii="宋体" w:hAnsi="宋体" w:eastAsia="宋体" w:cs="方正小标宋简体"/>
          <w:color w:val="000000"/>
          <w:spacing w:val="-20"/>
          <w:kern w:val="0"/>
          <w:sz w:val="44"/>
          <w:szCs w:val="44"/>
        </w:rPr>
      </w:pPr>
      <w:r>
        <w:rPr>
          <w:rFonts w:hint="eastAsia" w:ascii="宋体" w:hAnsi="宋体" w:eastAsia="宋体" w:cs="方正小标宋简体"/>
          <w:color w:val="000000"/>
          <w:spacing w:val="-20"/>
          <w:kern w:val="0"/>
          <w:sz w:val="44"/>
          <w:szCs w:val="44"/>
        </w:rPr>
        <w:t>景德镇市烟花爆竹燃放管理条例</w:t>
      </w:r>
    </w:p>
    <w:p>
      <w:pPr>
        <w:widowControl/>
        <w:shd w:val="clear" w:color="auto" w:fill="FFFFFF"/>
        <w:spacing w:line="560" w:lineRule="exact"/>
        <w:ind w:firstLine="640" w:firstLineChars="200"/>
        <w:rPr>
          <w:rFonts w:ascii="宋体" w:hAnsi="宋体" w:eastAsia="宋体" w:cs="仿宋_GB2312"/>
          <w:color w:val="000000"/>
          <w:kern w:val="0"/>
          <w:szCs w:val="32"/>
        </w:rPr>
      </w:pPr>
    </w:p>
    <w:p>
      <w:pPr>
        <w:widowControl/>
        <w:shd w:val="clear" w:color="auto" w:fill="FFFFFF"/>
        <w:spacing w:line="560" w:lineRule="exact"/>
        <w:ind w:left="640" w:leftChars="200" w:right="640" w:rightChars="200"/>
        <w:rPr>
          <w:rFonts w:ascii="楷体_GB2312" w:hAnsi="楷体_GB2312" w:eastAsia="楷体_GB2312" w:cs="楷体_GB2312"/>
          <w:color w:val="000000"/>
          <w:kern w:val="0"/>
          <w:szCs w:val="32"/>
        </w:rPr>
      </w:pPr>
      <w:bookmarkStart w:id="0" w:name="_GoBack"/>
      <w:bookmarkEnd w:id="0"/>
      <w:r>
        <w:rPr>
          <w:rFonts w:hint="eastAsia" w:ascii="楷体_GB2312" w:hAnsi="楷体_GB2312" w:eastAsia="楷体_GB2312" w:cs="楷体_GB2312"/>
          <w:color w:val="000000"/>
          <w:kern w:val="0"/>
          <w:szCs w:val="32"/>
        </w:rPr>
        <w:t>（2019年7月24日景德镇市第十五届人民代表大会常务委员会第二十次会议通过  2019年</w:t>
      </w:r>
      <w:r>
        <w:rPr>
          <w:rFonts w:hint="eastAsia" w:ascii="楷体_GB2312" w:hAnsi="楷体_GB2312" w:eastAsia="楷体_GB2312" w:cs="楷体_GB2312"/>
          <w:color w:val="000000"/>
          <w:kern w:val="0"/>
          <w:szCs w:val="32"/>
          <w:lang w:val="en-US" w:eastAsia="zh-CN"/>
        </w:rPr>
        <w:t>9</w:t>
      </w:r>
      <w:r>
        <w:rPr>
          <w:rFonts w:hint="eastAsia" w:ascii="楷体_GB2312" w:hAnsi="楷体_GB2312" w:eastAsia="楷体_GB2312" w:cs="楷体_GB2312"/>
          <w:color w:val="000000"/>
          <w:kern w:val="0"/>
          <w:szCs w:val="32"/>
        </w:rPr>
        <w:t>月2</w:t>
      </w:r>
      <w:r>
        <w:rPr>
          <w:rFonts w:hint="eastAsia" w:ascii="楷体_GB2312" w:hAnsi="楷体_GB2312" w:eastAsia="楷体_GB2312" w:cs="楷体_GB2312"/>
          <w:color w:val="000000"/>
          <w:kern w:val="0"/>
          <w:szCs w:val="32"/>
          <w:lang w:val="en-US" w:eastAsia="zh-CN"/>
        </w:rPr>
        <w:t>8</w:t>
      </w:r>
      <w:r>
        <w:rPr>
          <w:rFonts w:hint="eastAsia" w:ascii="楷体_GB2312" w:hAnsi="楷体_GB2312" w:eastAsia="楷体_GB2312" w:cs="楷体_GB2312"/>
          <w:color w:val="000000"/>
          <w:kern w:val="0"/>
          <w:szCs w:val="32"/>
        </w:rPr>
        <w:t>日江西省第十三届人民代表大会常务委员会第十</w:t>
      </w:r>
      <w:r>
        <w:rPr>
          <w:rFonts w:hint="eastAsia" w:ascii="楷体_GB2312" w:hAnsi="楷体_GB2312" w:eastAsia="楷体_GB2312" w:cs="楷体_GB2312"/>
          <w:color w:val="000000"/>
          <w:kern w:val="0"/>
          <w:szCs w:val="32"/>
          <w:lang w:val="en-US" w:eastAsia="zh-CN"/>
        </w:rPr>
        <w:t>五</w:t>
      </w:r>
      <w:r>
        <w:rPr>
          <w:rFonts w:hint="eastAsia" w:ascii="楷体_GB2312" w:hAnsi="楷体_GB2312" w:eastAsia="楷体_GB2312" w:cs="楷体_GB2312"/>
          <w:color w:val="000000"/>
          <w:kern w:val="0"/>
          <w:szCs w:val="32"/>
        </w:rPr>
        <w:t>次会议批准）</w:t>
      </w:r>
    </w:p>
    <w:p>
      <w:pPr>
        <w:widowControl/>
        <w:shd w:val="clear" w:color="auto" w:fill="FFFFFF"/>
        <w:spacing w:line="560" w:lineRule="exact"/>
        <w:ind w:firstLine="640" w:firstLineChars="200"/>
        <w:rPr>
          <w:rFonts w:ascii="宋体" w:hAnsi="宋体" w:eastAsia="宋体" w:cs="仿宋_GB2312"/>
          <w:color w:val="000000"/>
          <w:kern w:val="0"/>
          <w:szCs w:val="32"/>
        </w:rPr>
      </w:pPr>
    </w:p>
    <w:p>
      <w:pPr>
        <w:spacing w:line="560" w:lineRule="exact"/>
        <w:ind w:firstLine="640" w:firstLineChars="200"/>
        <w:rPr>
          <w:rFonts w:eastAsia="仿宋_GB2312"/>
          <w:sz w:val="32"/>
          <w:szCs w:val="32"/>
        </w:rPr>
      </w:pPr>
      <w:r>
        <w:rPr>
          <w:rFonts w:hint="eastAsia" w:ascii="黑体" w:hAnsi="黑体" w:eastAsia="黑体"/>
          <w:sz w:val="32"/>
          <w:szCs w:val="32"/>
        </w:rPr>
        <w:t>第一条</w:t>
      </w:r>
      <w:r>
        <w:rPr>
          <w:rFonts w:eastAsia="楷体_GB2312"/>
          <w:b/>
          <w:sz w:val="32"/>
          <w:szCs w:val="32"/>
        </w:rPr>
        <w:t xml:space="preserve">  </w:t>
      </w:r>
      <w:r>
        <w:rPr>
          <w:rFonts w:hint="eastAsia" w:eastAsia="仿宋_GB2312"/>
          <w:sz w:val="32"/>
          <w:szCs w:val="32"/>
        </w:rPr>
        <w:t>为了加强烟花爆竹燃放安全管理，减少环境污染，保障公共安全和人身、财产安全，根据</w:t>
      </w:r>
      <w:r>
        <w:rPr>
          <w:rFonts w:hint="eastAsia" w:ascii="仿宋_GB2312" w:hAnsi="仿宋" w:eastAsia="仿宋_GB2312" w:cs="仿宋"/>
          <w:color w:val="000000"/>
          <w:sz w:val="32"/>
          <w:szCs w:val="32"/>
        </w:rPr>
        <w:t>《中华人民共和国大气污染防治法》、国务院《烟花爆竹安全管理条例》和其他</w:t>
      </w:r>
      <w:r>
        <w:rPr>
          <w:rFonts w:hint="eastAsia" w:eastAsia="仿宋_GB2312"/>
          <w:sz w:val="32"/>
          <w:szCs w:val="32"/>
        </w:rPr>
        <w:t>有关法律、法规的规定，结合本市实际，制定本条例。</w:t>
      </w:r>
    </w:p>
    <w:p>
      <w:pPr>
        <w:spacing w:line="620" w:lineRule="exact"/>
        <w:ind w:firstLine="627" w:firstLineChars="196"/>
        <w:rPr>
          <w:rFonts w:eastAsia="仿宋_GB2312"/>
          <w:sz w:val="32"/>
          <w:szCs w:val="32"/>
        </w:rPr>
      </w:pPr>
      <w:r>
        <w:rPr>
          <w:rFonts w:hint="eastAsia" w:ascii="黑体" w:hAnsi="黑体" w:eastAsia="黑体"/>
          <w:sz w:val="32"/>
          <w:szCs w:val="32"/>
        </w:rPr>
        <w:t>第二条</w:t>
      </w:r>
      <w:r>
        <w:rPr>
          <w:rFonts w:eastAsia="仿宋_GB2312"/>
          <w:sz w:val="32"/>
          <w:szCs w:val="32"/>
        </w:rPr>
        <w:t xml:space="preserve">  </w:t>
      </w:r>
      <w:r>
        <w:rPr>
          <w:rFonts w:hint="eastAsia" w:eastAsia="仿宋_GB2312"/>
          <w:sz w:val="32"/>
          <w:szCs w:val="32"/>
        </w:rPr>
        <w:t>本市行政区域内烟花爆竹燃放管理适用本条例。</w:t>
      </w:r>
    </w:p>
    <w:p>
      <w:pPr>
        <w:spacing w:line="560" w:lineRule="exact"/>
        <w:ind w:firstLine="627" w:firstLineChars="196"/>
        <w:rPr>
          <w:rFonts w:eastAsia="仿宋_GB2312"/>
          <w:sz w:val="32"/>
          <w:szCs w:val="32"/>
        </w:rPr>
      </w:pPr>
      <w:r>
        <w:rPr>
          <w:rFonts w:hint="eastAsia" w:eastAsia="仿宋_GB2312"/>
          <w:sz w:val="32"/>
          <w:szCs w:val="32"/>
        </w:rPr>
        <w:t>市、县（市、区）人民政府应当根据本行政区域的实际情况依法确定禁止燃放烟花爆竹的区域，并向社会公布。</w:t>
      </w:r>
    </w:p>
    <w:p>
      <w:pPr>
        <w:spacing w:line="560" w:lineRule="exact"/>
        <w:ind w:firstLine="627" w:firstLineChars="196"/>
        <w:rPr>
          <w:rFonts w:eastAsia="仿宋_GB2312"/>
          <w:sz w:val="32"/>
          <w:szCs w:val="32"/>
        </w:rPr>
      </w:pPr>
      <w:r>
        <w:rPr>
          <w:rFonts w:hint="eastAsia" w:ascii="黑体" w:hAnsi="黑体" w:eastAsia="黑体"/>
          <w:sz w:val="32"/>
          <w:szCs w:val="32"/>
        </w:rPr>
        <w:t>第三条</w:t>
      </w:r>
      <w:r>
        <w:rPr>
          <w:rFonts w:eastAsia="楷体_GB2312"/>
          <w:b/>
          <w:sz w:val="32"/>
          <w:szCs w:val="32"/>
        </w:rPr>
        <w:t xml:space="preserve">  </w:t>
      </w:r>
      <w:r>
        <w:rPr>
          <w:rFonts w:hint="eastAsia" w:eastAsia="仿宋_GB2312"/>
          <w:sz w:val="32"/>
          <w:szCs w:val="32"/>
        </w:rPr>
        <w:t>下列地点，禁止燃放烟花爆竹：</w:t>
      </w:r>
    </w:p>
    <w:p>
      <w:pPr>
        <w:pStyle w:val="7"/>
        <w:spacing w:line="560" w:lineRule="exact"/>
        <w:ind w:firstLine="640"/>
        <w:rPr>
          <w:rFonts w:eastAsia="仿宋_GB2312"/>
          <w:sz w:val="32"/>
          <w:szCs w:val="32"/>
        </w:rPr>
      </w:pPr>
      <w:r>
        <w:rPr>
          <w:rFonts w:hint="eastAsia" w:eastAsia="仿宋_GB2312"/>
          <w:sz w:val="32"/>
          <w:szCs w:val="32"/>
        </w:rPr>
        <w:t>（一）文物保护、保存单位和自然保护区；</w:t>
      </w:r>
    </w:p>
    <w:p>
      <w:pPr>
        <w:spacing w:line="560" w:lineRule="exact"/>
        <w:ind w:firstLine="640" w:firstLineChars="200"/>
        <w:rPr>
          <w:rFonts w:eastAsia="仿宋_GB2312"/>
          <w:sz w:val="32"/>
          <w:szCs w:val="32"/>
        </w:rPr>
      </w:pPr>
      <w:r>
        <w:rPr>
          <w:rFonts w:hint="eastAsia" w:eastAsia="仿宋_GB2312"/>
          <w:sz w:val="32"/>
          <w:szCs w:val="32"/>
        </w:rPr>
        <w:t>（二）车站、码头、机场等交通枢纽以及铁路线路安全保护区内；</w:t>
      </w:r>
    </w:p>
    <w:p>
      <w:pPr>
        <w:spacing w:line="560" w:lineRule="exact"/>
        <w:ind w:firstLine="627" w:firstLineChars="196"/>
        <w:rPr>
          <w:rFonts w:eastAsia="仿宋_GB2312"/>
          <w:color w:val="FF0000"/>
          <w:sz w:val="32"/>
          <w:szCs w:val="32"/>
        </w:rPr>
      </w:pPr>
      <w:r>
        <w:rPr>
          <w:rFonts w:hint="eastAsia" w:eastAsia="仿宋_GB2312"/>
          <w:sz w:val="32"/>
          <w:szCs w:val="32"/>
        </w:rPr>
        <w:t>（三）加油站、液化石油站、煤气站及粮、棉、油、麻等易燃易爆物品生产、销售、储存、使用单位；</w:t>
      </w:r>
    </w:p>
    <w:p>
      <w:pPr>
        <w:spacing w:line="560" w:lineRule="exact"/>
        <w:ind w:firstLine="627" w:firstLineChars="196"/>
        <w:rPr>
          <w:rFonts w:eastAsia="仿宋_GB2312"/>
          <w:sz w:val="32"/>
          <w:szCs w:val="32"/>
        </w:rPr>
      </w:pPr>
      <w:r>
        <w:rPr>
          <w:rFonts w:hint="eastAsia" w:eastAsia="仿宋_GB2312"/>
          <w:sz w:val="32"/>
          <w:szCs w:val="32"/>
        </w:rPr>
        <w:t>（四）输变电设施安全保护区内和架空通讯线路附近；</w:t>
      </w:r>
    </w:p>
    <w:p>
      <w:pPr>
        <w:spacing w:line="560" w:lineRule="exact"/>
        <w:ind w:firstLine="627" w:firstLineChars="196"/>
        <w:rPr>
          <w:rFonts w:eastAsia="仿宋_GB2312"/>
          <w:sz w:val="32"/>
          <w:szCs w:val="32"/>
        </w:rPr>
      </w:pPr>
      <w:r>
        <w:rPr>
          <w:rFonts w:hint="eastAsia" w:eastAsia="仿宋_GB2312"/>
          <w:sz w:val="32"/>
          <w:szCs w:val="32"/>
        </w:rPr>
        <w:t>（五）国家机关、医疗机构、幼儿园、学校、敬老院；</w:t>
      </w:r>
    </w:p>
    <w:p>
      <w:pPr>
        <w:spacing w:line="560" w:lineRule="exact"/>
        <w:ind w:firstLine="627" w:firstLineChars="196"/>
        <w:rPr>
          <w:rFonts w:eastAsia="仿宋_GB2312"/>
          <w:sz w:val="32"/>
          <w:szCs w:val="32"/>
        </w:rPr>
      </w:pPr>
      <w:r>
        <w:rPr>
          <w:rFonts w:hint="eastAsia" w:eastAsia="仿宋_GB2312"/>
          <w:sz w:val="32"/>
          <w:szCs w:val="32"/>
        </w:rPr>
        <w:t>（六）工厂、矿山内严禁烟火的场所，山林、绿地等重点防火区；</w:t>
      </w:r>
      <w:r>
        <w:rPr>
          <w:rFonts w:eastAsia="仿宋_GB2312"/>
          <w:sz w:val="32"/>
          <w:szCs w:val="32"/>
        </w:rPr>
        <w:t xml:space="preserve"> </w:t>
      </w:r>
    </w:p>
    <w:p>
      <w:pPr>
        <w:spacing w:line="560" w:lineRule="exact"/>
        <w:ind w:firstLine="627" w:firstLineChars="196"/>
        <w:rPr>
          <w:rFonts w:eastAsia="仿宋_GB2312"/>
          <w:sz w:val="32"/>
          <w:szCs w:val="32"/>
        </w:rPr>
      </w:pPr>
      <w:r>
        <w:rPr>
          <w:rFonts w:hint="eastAsia" w:eastAsia="仿宋_GB2312"/>
          <w:sz w:val="32"/>
          <w:szCs w:val="32"/>
        </w:rPr>
        <w:t>（七）公园、商场、集贸市场、公共娱乐场所等人员密集的场所；</w:t>
      </w:r>
      <w:r>
        <w:rPr>
          <w:rFonts w:eastAsia="仿宋_GB2312"/>
          <w:sz w:val="32"/>
          <w:szCs w:val="32"/>
        </w:rPr>
        <w:t xml:space="preserve"> </w:t>
      </w:r>
    </w:p>
    <w:p>
      <w:pPr>
        <w:spacing w:line="560" w:lineRule="exact"/>
        <w:ind w:firstLine="627" w:firstLineChars="196"/>
        <w:rPr>
          <w:rFonts w:eastAsia="仿宋_GB2312"/>
          <w:sz w:val="32"/>
          <w:szCs w:val="32"/>
        </w:rPr>
      </w:pPr>
      <w:r>
        <w:rPr>
          <w:rFonts w:hint="eastAsia" w:eastAsia="仿宋_GB2312"/>
          <w:sz w:val="32"/>
          <w:szCs w:val="32"/>
        </w:rPr>
        <w:t>（八）市、县（市</w:t>
      </w:r>
      <w:r>
        <w:rPr>
          <w:rFonts w:hint="eastAsia" w:eastAsia="仿宋_GB2312"/>
          <w:bCs/>
          <w:sz w:val="32"/>
          <w:szCs w:val="32"/>
        </w:rPr>
        <w:t>、区</w:t>
      </w:r>
      <w:r>
        <w:rPr>
          <w:rFonts w:hint="eastAsia" w:eastAsia="仿宋_GB2312"/>
          <w:sz w:val="32"/>
          <w:szCs w:val="32"/>
        </w:rPr>
        <w:t>）人民政府规定的禁止燃放烟花爆竹的其他地点。</w:t>
      </w:r>
    </w:p>
    <w:p>
      <w:pPr>
        <w:spacing w:line="560" w:lineRule="exact"/>
        <w:ind w:firstLine="627" w:firstLineChars="196"/>
        <w:rPr>
          <w:rFonts w:eastAsia="仿宋_GB2312"/>
          <w:sz w:val="32"/>
          <w:szCs w:val="32"/>
        </w:rPr>
      </w:pPr>
      <w:r>
        <w:rPr>
          <w:rFonts w:hint="eastAsia" w:eastAsia="仿宋_GB2312"/>
          <w:sz w:val="32"/>
          <w:szCs w:val="32"/>
        </w:rPr>
        <w:t>禁止燃放烟花爆竹的地点及周边具体范围，由市、县（市、区）人民政府设置明显的禁止燃放烟花爆竹警示标志，任何单位和个人不得擅自移动、损毁。</w:t>
      </w:r>
    </w:p>
    <w:p>
      <w:pPr>
        <w:spacing w:line="560" w:lineRule="exact"/>
        <w:ind w:firstLine="627" w:firstLineChars="196"/>
        <w:rPr>
          <w:rFonts w:eastAsia="仿宋_GB2312"/>
          <w:sz w:val="32"/>
          <w:szCs w:val="32"/>
        </w:rPr>
      </w:pPr>
      <w:r>
        <w:rPr>
          <w:rFonts w:hint="eastAsia" w:ascii="黑体" w:hAnsi="黑体" w:eastAsia="黑体"/>
          <w:sz w:val="32"/>
          <w:szCs w:val="32"/>
        </w:rPr>
        <w:t>第四条</w:t>
      </w:r>
      <w:r>
        <w:rPr>
          <w:rFonts w:eastAsia="仿宋_GB2312"/>
          <w:b/>
          <w:sz w:val="32"/>
          <w:szCs w:val="32"/>
        </w:rPr>
        <w:t xml:space="preserve">  </w:t>
      </w:r>
      <w:r>
        <w:rPr>
          <w:rFonts w:hint="eastAsia" w:eastAsia="仿宋_GB2312"/>
          <w:sz w:val="32"/>
          <w:szCs w:val="32"/>
        </w:rPr>
        <w:t>本条例第二条第二款和第三条第一款规定的禁止燃放烟花爆竹的区域和地点禁止销售烟花爆竹。由此给已经取得许可销售烟花爆竹的经营者造成财产损失的，应当依法给予补偿，具体补偿办法由市人民政府制定。</w:t>
      </w:r>
    </w:p>
    <w:p>
      <w:pPr>
        <w:spacing w:line="560" w:lineRule="exact"/>
        <w:ind w:firstLine="627" w:firstLineChars="196"/>
        <w:rPr>
          <w:rFonts w:eastAsia="仿宋_GB2312"/>
          <w:sz w:val="32"/>
          <w:szCs w:val="32"/>
        </w:rPr>
      </w:pPr>
      <w:r>
        <w:rPr>
          <w:rFonts w:hint="eastAsia" w:eastAsia="仿宋_GB2312"/>
          <w:sz w:val="32"/>
          <w:szCs w:val="32"/>
        </w:rPr>
        <w:t>在禁止燃放烟花爆竹的区域和地点之外，烟花爆竹经营单位的布点，应当遵循合理布局、总量控制、逐步减少的原则。</w:t>
      </w:r>
    </w:p>
    <w:p>
      <w:pPr>
        <w:spacing w:line="560" w:lineRule="exact"/>
        <w:ind w:firstLine="627" w:firstLineChars="196"/>
        <w:rPr>
          <w:rFonts w:eastAsia="仿宋_GB2312"/>
          <w:sz w:val="32"/>
          <w:szCs w:val="32"/>
        </w:rPr>
      </w:pPr>
      <w:r>
        <w:rPr>
          <w:rFonts w:hint="eastAsia" w:eastAsia="仿宋_GB2312"/>
          <w:sz w:val="32"/>
          <w:szCs w:val="32"/>
        </w:rPr>
        <w:t>本市销售的烟花爆竹，应当符合国家、行业的有关技术标准和本市关于准予经营的烟花爆竹品种、规格的规定。本市准予经营的烟花爆竹品种、规格应当通过媒体向社会公布。</w:t>
      </w:r>
    </w:p>
    <w:p>
      <w:pPr>
        <w:spacing w:line="560" w:lineRule="exact"/>
        <w:ind w:firstLine="627" w:firstLineChars="196"/>
        <w:rPr>
          <w:rFonts w:eastAsia="仿宋_GB2312"/>
          <w:sz w:val="32"/>
          <w:szCs w:val="32"/>
        </w:rPr>
      </w:pPr>
      <w:r>
        <w:rPr>
          <w:rFonts w:hint="eastAsia" w:eastAsia="仿宋_GB2312"/>
          <w:sz w:val="32"/>
          <w:szCs w:val="32"/>
        </w:rPr>
        <w:t>烟花爆竹零售点的设置应当符合国家和本市有关规定，实行专店或者专柜销售，并配备必要的安全防护措施。</w:t>
      </w:r>
    </w:p>
    <w:p>
      <w:pPr>
        <w:spacing w:line="560" w:lineRule="exact"/>
        <w:ind w:firstLine="627" w:firstLineChars="196"/>
        <w:rPr>
          <w:rFonts w:eastAsia="仿宋_GB2312"/>
          <w:sz w:val="32"/>
          <w:szCs w:val="32"/>
        </w:rPr>
      </w:pPr>
      <w:r>
        <w:rPr>
          <w:rFonts w:hint="eastAsia" w:ascii="黑体" w:hAnsi="黑体" w:eastAsia="黑体"/>
          <w:sz w:val="32"/>
          <w:szCs w:val="32"/>
        </w:rPr>
        <w:t>第五条</w:t>
      </w:r>
      <w:r>
        <w:rPr>
          <w:rFonts w:eastAsia="仿宋_GB2312"/>
          <w:b/>
          <w:sz w:val="32"/>
          <w:szCs w:val="32"/>
        </w:rPr>
        <w:t xml:space="preserve">  </w:t>
      </w:r>
      <w:r>
        <w:rPr>
          <w:rFonts w:hint="eastAsia" w:eastAsia="仿宋_GB2312"/>
          <w:sz w:val="32"/>
          <w:szCs w:val="32"/>
        </w:rPr>
        <w:t>市、县（市、区）人民政府负责本行政区域内烟花爆竹燃放管理工作，建立工作协调机制，督促有关部门履行监督管理职责。</w:t>
      </w:r>
    </w:p>
    <w:p>
      <w:pPr>
        <w:pStyle w:val="4"/>
        <w:shd w:val="clear" w:color="auto" w:fill="FFFFFF"/>
        <w:spacing w:beforeAutospacing="0" w:afterAutospacing="0" w:line="560" w:lineRule="exact"/>
        <w:ind w:firstLine="640" w:firstLineChars="200"/>
        <w:rPr>
          <w:rFonts w:eastAsia="仿宋_GB2312"/>
          <w:sz w:val="32"/>
          <w:szCs w:val="32"/>
        </w:rPr>
      </w:pPr>
      <w:r>
        <w:rPr>
          <w:rFonts w:hint="eastAsia" w:ascii="黑体" w:hAnsi="黑体" w:eastAsia="黑体"/>
          <w:sz w:val="32"/>
          <w:szCs w:val="32"/>
        </w:rPr>
        <w:t>第六条</w:t>
      </w:r>
      <w:r>
        <w:rPr>
          <w:rFonts w:hint="eastAsia" w:eastAsia="仿宋_GB2312"/>
          <w:b/>
          <w:sz w:val="32"/>
          <w:szCs w:val="32"/>
        </w:rPr>
        <w:t xml:space="preserve">  </w:t>
      </w:r>
      <w:r>
        <w:rPr>
          <w:rFonts w:hint="eastAsia" w:ascii="Calibri" w:hAnsi="Calibri" w:eastAsia="仿宋_GB2312"/>
          <w:sz w:val="32"/>
          <w:szCs w:val="32"/>
        </w:rPr>
        <w:t>市、县（市、区）公安机关主管本行政区域内的</w:t>
      </w:r>
      <w:r>
        <w:rPr>
          <w:rFonts w:hint="eastAsia" w:eastAsia="仿宋_GB2312"/>
          <w:sz w:val="32"/>
          <w:szCs w:val="32"/>
        </w:rPr>
        <w:t>烟花爆竹燃放工作。教育、生态环境、交通运输、应急管理、市场监督管理、城市管理等有关部门，应当按照各自职责，做好烟花爆竹燃放管理的相关工作。</w:t>
      </w:r>
    </w:p>
    <w:p>
      <w:pPr>
        <w:spacing w:line="560" w:lineRule="exact"/>
        <w:ind w:firstLine="627" w:firstLineChars="196"/>
        <w:rPr>
          <w:rFonts w:eastAsia="仿宋_GB2312"/>
          <w:bCs/>
          <w:sz w:val="32"/>
          <w:szCs w:val="32"/>
        </w:rPr>
      </w:pPr>
      <w:r>
        <w:rPr>
          <w:rFonts w:hint="eastAsia" w:eastAsia="仿宋_GB2312"/>
          <w:bCs/>
          <w:sz w:val="32"/>
          <w:szCs w:val="32"/>
        </w:rPr>
        <w:t>乡镇人民政府、街道办事处应当按照县（市、区）人民政府的要求，组织开展本辖区的烟花爆竹燃放管理工作。</w:t>
      </w:r>
    </w:p>
    <w:p>
      <w:pPr>
        <w:spacing w:line="560" w:lineRule="exact"/>
        <w:ind w:firstLine="627" w:firstLineChars="196"/>
        <w:rPr>
          <w:rFonts w:eastAsia="仿宋_GB2312"/>
          <w:sz w:val="32"/>
          <w:szCs w:val="32"/>
        </w:rPr>
      </w:pPr>
      <w:r>
        <w:rPr>
          <w:rFonts w:hint="eastAsia" w:eastAsia="仿宋_GB2312"/>
          <w:bCs/>
          <w:sz w:val="32"/>
          <w:szCs w:val="32"/>
        </w:rPr>
        <w:t>居（村）民委员会以及其他机关、团体、企业事业单位应当协助做好烟花爆竹燃放管理的相关工作。</w:t>
      </w:r>
    </w:p>
    <w:p>
      <w:pPr>
        <w:spacing w:line="560" w:lineRule="exact"/>
        <w:ind w:firstLine="627" w:firstLineChars="196"/>
        <w:rPr>
          <w:rFonts w:eastAsia="仿宋_GB2312"/>
          <w:sz w:val="32"/>
          <w:szCs w:val="32"/>
        </w:rPr>
      </w:pPr>
      <w:r>
        <w:rPr>
          <w:rFonts w:hint="eastAsia" w:ascii="黑体" w:hAnsi="黑体" w:eastAsia="黑体"/>
          <w:sz w:val="32"/>
          <w:szCs w:val="32"/>
        </w:rPr>
        <w:t>第七条</w:t>
      </w:r>
      <w:r>
        <w:rPr>
          <w:rFonts w:eastAsia="仿宋_GB2312"/>
          <w:b/>
          <w:sz w:val="32"/>
          <w:szCs w:val="32"/>
        </w:rPr>
        <w:t xml:space="preserve">  </w:t>
      </w:r>
      <w:r>
        <w:rPr>
          <w:rFonts w:hint="eastAsia" w:eastAsia="仿宋_GB2312"/>
          <w:sz w:val="32"/>
          <w:szCs w:val="32"/>
        </w:rPr>
        <w:t>各级人民政府及其有关部门和街道办事处、居</w:t>
      </w:r>
      <w:r>
        <w:rPr>
          <w:rFonts w:hint="eastAsia" w:ascii="仿宋_GB2312" w:eastAsia="仿宋_GB2312"/>
          <w:sz w:val="32"/>
          <w:szCs w:val="32"/>
        </w:rPr>
        <w:t>（</w:t>
      </w:r>
      <w:r>
        <w:rPr>
          <w:rFonts w:hint="eastAsia" w:eastAsia="仿宋_GB2312"/>
          <w:sz w:val="32"/>
          <w:szCs w:val="32"/>
        </w:rPr>
        <w:t>村）民委员会应当开展禁止燃放烟花爆竹的宣传教育活动。</w:t>
      </w:r>
    </w:p>
    <w:p>
      <w:pPr>
        <w:spacing w:line="560" w:lineRule="exact"/>
        <w:ind w:firstLine="627" w:firstLineChars="196"/>
        <w:rPr>
          <w:rFonts w:eastAsia="仿宋_GB2312"/>
          <w:sz w:val="32"/>
          <w:szCs w:val="32"/>
        </w:rPr>
      </w:pPr>
      <w:r>
        <w:rPr>
          <w:rFonts w:hint="eastAsia" w:eastAsia="仿宋_GB2312"/>
          <w:sz w:val="32"/>
          <w:szCs w:val="32"/>
        </w:rPr>
        <w:t>广播、电视、报刊、网络等新闻媒体，应当做好禁止燃放烟花爆竹的宣传工作。</w:t>
      </w:r>
    </w:p>
    <w:p>
      <w:pPr>
        <w:spacing w:line="560" w:lineRule="exact"/>
        <w:ind w:firstLine="627" w:firstLineChars="196"/>
        <w:rPr>
          <w:rFonts w:eastAsia="仿宋_GB2312"/>
          <w:sz w:val="32"/>
          <w:szCs w:val="32"/>
        </w:rPr>
      </w:pPr>
      <w:r>
        <w:rPr>
          <w:rFonts w:hint="eastAsia" w:eastAsia="仿宋_GB2312"/>
          <w:sz w:val="32"/>
          <w:szCs w:val="32"/>
        </w:rPr>
        <w:t>学校应当对学生进行依法、文明、安全燃放烟花爆竹的教育。</w:t>
      </w:r>
    </w:p>
    <w:p>
      <w:pPr>
        <w:spacing w:line="560" w:lineRule="exact"/>
        <w:ind w:firstLine="627" w:firstLineChars="196"/>
        <w:rPr>
          <w:rFonts w:eastAsia="仿宋_GB2312"/>
          <w:sz w:val="32"/>
          <w:szCs w:val="32"/>
        </w:rPr>
      </w:pPr>
      <w:r>
        <w:rPr>
          <w:rFonts w:hint="eastAsia" w:ascii="仿宋_GB2312" w:hAnsi="仿宋_GB2312" w:eastAsia="仿宋_GB2312" w:cs="仿宋_GB2312"/>
          <w:sz w:val="32"/>
          <w:szCs w:val="32"/>
        </w:rPr>
        <w:t>监护人应当对被监护人燃放烟花爆竹的行为进行教育和管理</w:t>
      </w:r>
      <w:r>
        <w:rPr>
          <w:rFonts w:hint="eastAsia" w:eastAsia="仿宋_GB2312"/>
          <w:sz w:val="32"/>
          <w:szCs w:val="32"/>
        </w:rPr>
        <w:t>。</w:t>
      </w:r>
    </w:p>
    <w:p>
      <w:pPr>
        <w:spacing w:line="560" w:lineRule="exact"/>
        <w:ind w:firstLine="627" w:firstLineChars="196"/>
        <w:rPr>
          <w:rFonts w:eastAsia="仿宋_GB2312"/>
          <w:sz w:val="32"/>
          <w:szCs w:val="32"/>
        </w:rPr>
      </w:pPr>
      <w:r>
        <w:rPr>
          <w:rFonts w:hint="eastAsia" w:ascii="黑体" w:hAnsi="黑体" w:eastAsia="黑体"/>
          <w:sz w:val="32"/>
          <w:szCs w:val="32"/>
        </w:rPr>
        <w:t>第八条</w:t>
      </w:r>
      <w:r>
        <w:rPr>
          <w:rFonts w:eastAsia="仿宋_GB2312"/>
          <w:b/>
          <w:sz w:val="32"/>
          <w:szCs w:val="32"/>
        </w:rPr>
        <w:t xml:space="preserve">  </w:t>
      </w:r>
      <w:r>
        <w:rPr>
          <w:rFonts w:hint="eastAsia" w:eastAsia="仿宋_GB2312"/>
          <w:sz w:val="32"/>
          <w:szCs w:val="32"/>
        </w:rPr>
        <w:t>任何单位和个人都有权对违反本条例的行为进行劝阻和举报、投诉。</w:t>
      </w:r>
    </w:p>
    <w:p>
      <w:pPr>
        <w:spacing w:line="560" w:lineRule="exact"/>
        <w:ind w:firstLine="627" w:firstLineChars="196"/>
        <w:rPr>
          <w:rFonts w:eastAsia="仿宋_GB2312"/>
          <w:sz w:val="32"/>
          <w:szCs w:val="32"/>
        </w:rPr>
      </w:pPr>
      <w:r>
        <w:rPr>
          <w:rFonts w:hint="eastAsia" w:eastAsia="仿宋_GB2312"/>
          <w:sz w:val="32"/>
          <w:szCs w:val="32"/>
        </w:rPr>
        <w:t>公安机关、应急管理、市场监督管理、城市管理等有关部门应当公布举报、投诉电话和其他联系方式；接到举报、投诉后，应当及时处理，并将处理结果反馈举报、投诉人。</w:t>
      </w:r>
    </w:p>
    <w:p>
      <w:pPr>
        <w:spacing w:line="560" w:lineRule="exact"/>
        <w:ind w:firstLine="627" w:firstLineChars="196"/>
        <w:rPr>
          <w:rFonts w:eastAsia="仿宋_GB2312"/>
          <w:sz w:val="32"/>
          <w:szCs w:val="32"/>
        </w:rPr>
      </w:pPr>
      <w:r>
        <w:rPr>
          <w:rFonts w:hint="eastAsia" w:eastAsia="仿宋_GB2312"/>
          <w:sz w:val="32"/>
          <w:szCs w:val="32"/>
        </w:rPr>
        <w:t>公安机关、应急管理、市场监督管理、城市管理等有关部门对举报的违法燃放、销售烟花爆竹行为核查属实的，对举报人予以奖励。</w:t>
      </w:r>
    </w:p>
    <w:p>
      <w:pPr>
        <w:spacing w:line="560" w:lineRule="exact"/>
        <w:ind w:firstLine="627" w:firstLineChars="196"/>
        <w:rPr>
          <w:rFonts w:eastAsia="仿宋_GB2312"/>
          <w:dstrike/>
          <w:sz w:val="32"/>
          <w:szCs w:val="32"/>
        </w:rPr>
      </w:pPr>
      <w:r>
        <w:rPr>
          <w:rFonts w:hint="eastAsia" w:ascii="黑体" w:hAnsi="黑体" w:eastAsia="黑体"/>
          <w:sz w:val="32"/>
          <w:szCs w:val="32"/>
        </w:rPr>
        <w:t>第九条</w:t>
      </w:r>
      <w:r>
        <w:rPr>
          <w:rFonts w:eastAsia="仿宋_GB2312"/>
          <w:b/>
          <w:sz w:val="32"/>
          <w:szCs w:val="32"/>
        </w:rPr>
        <w:t xml:space="preserve">  </w:t>
      </w:r>
      <w:r>
        <w:rPr>
          <w:rFonts w:hint="eastAsia" w:eastAsia="仿宋_GB2312"/>
          <w:sz w:val="32"/>
          <w:szCs w:val="32"/>
        </w:rPr>
        <w:t>重大公共活动中确需举办焰火晚会或者其他大型焰火燃放活动的，主办方应当按照分级管理的规定，向公安机关提出许可申请，取得《焰火燃放许可证》。</w:t>
      </w:r>
    </w:p>
    <w:p>
      <w:pPr>
        <w:spacing w:line="560" w:lineRule="exact"/>
        <w:ind w:firstLine="627" w:firstLineChars="196"/>
        <w:rPr>
          <w:rFonts w:eastAsia="仿宋_GB2312"/>
          <w:sz w:val="32"/>
          <w:szCs w:val="32"/>
        </w:rPr>
      </w:pPr>
      <w:r>
        <w:rPr>
          <w:rFonts w:hint="eastAsia" w:eastAsia="仿宋_GB2312"/>
          <w:sz w:val="32"/>
          <w:szCs w:val="32"/>
        </w:rPr>
        <w:t>公安机关作出准予许可决定的，应当在作出许可决定后三日内，将许可燃放的时间、地点、种类、规格、数量向社会公告。</w:t>
      </w:r>
    </w:p>
    <w:p>
      <w:pPr>
        <w:spacing w:line="560" w:lineRule="exact"/>
        <w:ind w:firstLine="627" w:firstLineChars="196"/>
        <w:rPr>
          <w:rFonts w:eastAsia="仿宋_GB2312"/>
          <w:dstrike/>
          <w:sz w:val="32"/>
          <w:szCs w:val="32"/>
        </w:rPr>
      </w:pPr>
      <w:r>
        <w:rPr>
          <w:rFonts w:hint="eastAsia" w:eastAsia="仿宋_GB2312"/>
          <w:sz w:val="32"/>
          <w:szCs w:val="32"/>
        </w:rPr>
        <w:t>焰火晚会以及其他大型焰火燃放活动燃放作业单位和作业人员，应当按照焰火燃放安全规程和经许可的燃放作业方案进行燃放作业。</w:t>
      </w:r>
    </w:p>
    <w:p>
      <w:pPr>
        <w:spacing w:line="560" w:lineRule="exact"/>
        <w:ind w:firstLine="627" w:firstLineChars="196"/>
        <w:rPr>
          <w:rFonts w:eastAsia="仿宋_GB2312"/>
          <w:sz w:val="32"/>
          <w:szCs w:val="32"/>
        </w:rPr>
      </w:pPr>
      <w:r>
        <w:rPr>
          <w:rFonts w:hint="eastAsia" w:ascii="黑体" w:hAnsi="黑体" w:eastAsia="黑体"/>
          <w:sz w:val="32"/>
          <w:szCs w:val="32"/>
        </w:rPr>
        <w:t>第十条</w:t>
      </w:r>
      <w:r>
        <w:rPr>
          <w:rFonts w:eastAsia="仿宋_GB2312"/>
          <w:b/>
          <w:sz w:val="32"/>
          <w:szCs w:val="32"/>
        </w:rPr>
        <w:t xml:space="preserve">  </w:t>
      </w:r>
      <w:r>
        <w:rPr>
          <w:rFonts w:hint="eastAsia" w:eastAsia="仿宋_GB2312"/>
          <w:sz w:val="32"/>
          <w:szCs w:val="32"/>
        </w:rPr>
        <w:t>居（村）民委员会、业主委员会、物业服务企业可以组织本辖区内或者责任范围内的居（村）民和宾馆、酒店等单位，制定禁止燃放烟花爆竹公约，并监督实施；对在本辖区内或者责任范围内燃放烟花爆竹的，居（村）民委员会、业主委员会、物业服务企业以及宾馆、酒店等单位应当及时予以劝阻；对拒不听从劝阻的，应当及时向所在地公安机关报告。</w:t>
      </w:r>
    </w:p>
    <w:p>
      <w:pPr>
        <w:spacing w:line="560" w:lineRule="exact"/>
        <w:ind w:firstLine="627" w:firstLineChars="196"/>
        <w:rPr>
          <w:rFonts w:eastAsia="仿宋_GB2312"/>
          <w:sz w:val="32"/>
          <w:szCs w:val="32"/>
        </w:rPr>
      </w:pPr>
      <w:r>
        <w:rPr>
          <w:rFonts w:hint="eastAsia" w:ascii="黑体" w:hAnsi="黑体" w:eastAsia="黑体"/>
          <w:sz w:val="32"/>
          <w:szCs w:val="32"/>
        </w:rPr>
        <w:t>第十一条</w:t>
      </w:r>
      <w:r>
        <w:rPr>
          <w:rFonts w:eastAsia="仿宋_GB2312"/>
          <w:b/>
          <w:sz w:val="32"/>
          <w:szCs w:val="32"/>
        </w:rPr>
        <w:t xml:space="preserve">  </w:t>
      </w:r>
      <w:r>
        <w:rPr>
          <w:rFonts w:hint="eastAsia" w:eastAsia="仿宋_GB2312"/>
          <w:sz w:val="32"/>
          <w:szCs w:val="32"/>
        </w:rPr>
        <w:t>违反本条例规定，在禁止燃放烟花爆竹的区域、地点燃放烟花爆竹的，由公安机关责令停止燃放，处一百元以上五百元以下罚款。</w:t>
      </w:r>
    </w:p>
    <w:p>
      <w:pPr>
        <w:spacing w:line="560" w:lineRule="exact"/>
        <w:ind w:firstLine="640" w:firstLineChars="200"/>
        <w:rPr>
          <w:rFonts w:eastAsia="仿宋_GB2312"/>
          <w:sz w:val="32"/>
          <w:szCs w:val="32"/>
        </w:rPr>
      </w:pPr>
      <w:r>
        <w:rPr>
          <w:rFonts w:hint="eastAsia" w:ascii="黑体" w:hAnsi="黑体" w:eastAsia="黑体"/>
          <w:sz w:val="32"/>
          <w:szCs w:val="32"/>
        </w:rPr>
        <w:t>第十二条</w:t>
      </w:r>
      <w:r>
        <w:rPr>
          <w:rFonts w:eastAsia="仿宋_GB2312"/>
          <w:b/>
          <w:sz w:val="32"/>
          <w:szCs w:val="32"/>
        </w:rPr>
        <w:t xml:space="preserve">  </w:t>
      </w:r>
      <w:r>
        <w:rPr>
          <w:rFonts w:hint="eastAsia" w:eastAsia="仿宋_GB2312"/>
          <w:sz w:val="32"/>
          <w:szCs w:val="32"/>
        </w:rPr>
        <w:t>违反本条例规定，在禁止燃放烟花爆竹的区域非法销售烟花爆竹的，依照国务院《烟花爆竹安全管理条例》的有关规定予以处罚。</w:t>
      </w:r>
    </w:p>
    <w:p>
      <w:pPr>
        <w:spacing w:line="560" w:lineRule="exact"/>
        <w:ind w:firstLine="627" w:firstLineChars="196"/>
        <w:rPr>
          <w:rFonts w:eastAsia="仿宋_GB2312"/>
          <w:sz w:val="32"/>
          <w:szCs w:val="32"/>
        </w:rPr>
      </w:pPr>
      <w:r>
        <w:rPr>
          <w:rFonts w:hint="eastAsia" w:ascii="黑体" w:hAnsi="黑体" w:eastAsia="黑体"/>
          <w:sz w:val="32"/>
          <w:szCs w:val="32"/>
        </w:rPr>
        <w:t>第十三条</w:t>
      </w:r>
      <w:r>
        <w:rPr>
          <w:rFonts w:eastAsia="仿宋_GB2312"/>
          <w:b/>
          <w:sz w:val="32"/>
          <w:szCs w:val="32"/>
        </w:rPr>
        <w:t xml:space="preserve">  </w:t>
      </w:r>
      <w:r>
        <w:rPr>
          <w:rFonts w:hint="eastAsia" w:eastAsia="仿宋_GB2312"/>
          <w:sz w:val="32"/>
          <w:szCs w:val="32"/>
        </w:rPr>
        <w:t>违反本条例规定，未经许可举办焰火晚会以及其他大型焰火燃放活动，或者违反焰火燃放安全规程、燃放作业方案进行燃放作业的，由公安机关责令停止燃放，对责任单位处一万元以上三万元以下罚款；情节严重的，处三万元以上五万元以下罚款。</w:t>
      </w:r>
    </w:p>
    <w:p>
      <w:pPr>
        <w:spacing w:line="560" w:lineRule="exact"/>
        <w:ind w:firstLine="640" w:firstLineChars="200"/>
        <w:rPr>
          <w:rFonts w:eastAsia="仿宋_GB2312"/>
          <w:sz w:val="32"/>
          <w:szCs w:val="32"/>
        </w:rPr>
      </w:pPr>
      <w:r>
        <w:rPr>
          <w:rFonts w:hint="eastAsia" w:ascii="黑体" w:hAnsi="黑体" w:eastAsia="黑体"/>
          <w:sz w:val="32"/>
          <w:szCs w:val="32"/>
        </w:rPr>
        <w:t>第十四条</w:t>
      </w:r>
      <w:r>
        <w:rPr>
          <w:rFonts w:eastAsia="仿宋_GB2312"/>
          <w:b/>
          <w:sz w:val="32"/>
          <w:szCs w:val="32"/>
        </w:rPr>
        <w:t xml:space="preserve">  </w:t>
      </w:r>
      <w:r>
        <w:rPr>
          <w:rFonts w:hint="eastAsia" w:eastAsia="仿宋_GB2312"/>
          <w:sz w:val="32"/>
          <w:szCs w:val="32"/>
        </w:rPr>
        <w:t>违反本条例规定，企业被处罚的，处罚记录录入企业信用信息公示系统。</w:t>
      </w:r>
    </w:p>
    <w:p>
      <w:pPr>
        <w:spacing w:line="560" w:lineRule="exact"/>
        <w:ind w:firstLine="640" w:firstLineChars="200"/>
        <w:rPr>
          <w:rFonts w:eastAsia="仿宋_GB2312"/>
          <w:sz w:val="32"/>
          <w:szCs w:val="32"/>
        </w:rPr>
      </w:pPr>
      <w:r>
        <w:rPr>
          <w:rFonts w:hint="eastAsia" w:ascii="黑体" w:hAnsi="黑体" w:eastAsia="黑体"/>
          <w:sz w:val="32"/>
          <w:szCs w:val="32"/>
        </w:rPr>
        <w:t>第十五条</w:t>
      </w:r>
      <w:r>
        <w:rPr>
          <w:rFonts w:eastAsia="仿宋_GB2312"/>
          <w:b/>
          <w:sz w:val="32"/>
          <w:szCs w:val="32"/>
        </w:rPr>
        <w:t xml:space="preserve">  </w:t>
      </w:r>
      <w:r>
        <w:rPr>
          <w:rFonts w:hint="eastAsia" w:eastAsia="仿宋_GB2312"/>
          <w:sz w:val="32"/>
          <w:szCs w:val="32"/>
        </w:rPr>
        <w:t>市、县（市、区）人民政府及其有关部门在烟花爆竹燃放管理工作中滥用职权、玩忽职守、徇私舞弊的，对直接负责的主管人员和其他直接责任人员依法给予处分。</w:t>
      </w:r>
    </w:p>
    <w:p>
      <w:pPr>
        <w:spacing w:line="560" w:lineRule="exact"/>
        <w:ind w:firstLine="627" w:firstLineChars="196"/>
        <w:rPr>
          <w:rFonts w:eastAsia="仿宋_GB2312"/>
          <w:sz w:val="32"/>
          <w:szCs w:val="32"/>
        </w:rPr>
      </w:pPr>
      <w:r>
        <w:rPr>
          <w:rFonts w:hint="eastAsia" w:ascii="黑体" w:hAnsi="黑体" w:eastAsia="黑体"/>
          <w:sz w:val="32"/>
          <w:szCs w:val="32"/>
        </w:rPr>
        <w:t>第十六条</w:t>
      </w:r>
      <w:r>
        <w:rPr>
          <w:rFonts w:eastAsia="仿宋_GB2312"/>
          <w:b/>
          <w:sz w:val="32"/>
          <w:szCs w:val="32"/>
        </w:rPr>
        <w:t xml:space="preserve">  </w:t>
      </w:r>
      <w:r>
        <w:rPr>
          <w:rFonts w:hint="eastAsia" w:eastAsia="仿宋_GB2312"/>
          <w:sz w:val="32"/>
          <w:szCs w:val="32"/>
        </w:rPr>
        <w:t>违反本条例规定，造成人身伤害或者财产损失的，依法承担民事责任；构成违反治安管理行为的，依法给予治安管理处罚；构成犯罪的，依法追究刑事责任。</w:t>
      </w:r>
    </w:p>
    <w:p>
      <w:pPr>
        <w:ind w:firstLine="640" w:firstLineChars="200"/>
      </w:pPr>
      <w:r>
        <w:rPr>
          <w:rFonts w:hint="eastAsia" w:ascii="黑体" w:hAnsi="黑体" w:eastAsia="黑体"/>
          <w:kern w:val="0"/>
          <w:sz w:val="32"/>
          <w:szCs w:val="32"/>
        </w:rPr>
        <w:t>第十七条</w:t>
      </w:r>
      <w:r>
        <w:rPr>
          <w:rFonts w:eastAsia="仿宋_GB2312"/>
          <w:b/>
          <w:kern w:val="0"/>
          <w:sz w:val="32"/>
          <w:szCs w:val="32"/>
        </w:rPr>
        <w:t xml:space="preserve">  </w:t>
      </w:r>
      <w:r>
        <w:rPr>
          <w:rFonts w:hint="eastAsia" w:eastAsia="仿宋_GB2312"/>
          <w:kern w:val="0"/>
          <w:sz w:val="32"/>
          <w:szCs w:val="32"/>
        </w:rPr>
        <w:t>本条例自</w:t>
      </w:r>
      <w:r>
        <w:rPr>
          <w:rFonts w:hint="eastAsia" w:ascii="仿宋_GB2312" w:eastAsia="仿宋_GB2312"/>
          <w:kern w:val="0"/>
          <w:sz w:val="32"/>
          <w:szCs w:val="32"/>
        </w:rPr>
        <w:t>2020年1月1日</w:t>
      </w:r>
      <w:r>
        <w:rPr>
          <w:rFonts w:hint="eastAsia" w:eastAsia="仿宋_GB2312"/>
          <w:kern w:val="0"/>
          <w:sz w:val="32"/>
          <w:szCs w:val="32"/>
        </w:rPr>
        <w:t>起施行。</w:t>
      </w:r>
    </w:p>
    <w:p>
      <w:pPr>
        <w:rPr>
          <w:rFonts w:ascii="Times New Roman" w:hAnsi="Times New Roman" w:eastAsia="宋体" w:cs="Times New Roman"/>
          <w:sz w:val="21"/>
        </w:rPr>
      </w:pPr>
    </w:p>
    <w:p/>
    <w:sectPr>
      <w:headerReference r:id="rId4" w:type="default"/>
      <w:footerReference r:id="rId5" w:type="default"/>
      <w:pgSz w:w="11906" w:h="16838"/>
      <w:pgMar w:top="2098" w:right="1531" w:bottom="1984" w:left="1531" w:header="851" w:footer="1587" w:gutter="0"/>
      <w:paperSrc w:first="0" w:other="0"/>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微软雅黑">
    <w:altName w:val="黑体"/>
    <w:panose1 w:val="020B0503020204020204"/>
    <w:charset w:val="86"/>
    <w:family w:val="auto"/>
    <w:pitch w:val="default"/>
    <w:sig w:usb0="80000287" w:usb1="2ACF3C50"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altName w:val="仿宋_GB2312"/>
    <w:panose1 w:val="02010609060101010101"/>
    <w:charset w:val="86"/>
    <w:family w:val="auto"/>
    <w:pitch w:val="default"/>
    <w:sig w:usb0="800002BF" w:usb1="38CF7CFA" w:usb2="00000016" w:usb3="00000000" w:csb0="00040001"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微软雅黑" w:hAnsi="微软雅黑" w:eastAsia="仿宋_GB2312" w:cs="仿宋_GB2312"/>
        <w:color w:val="434343"/>
        <w:kern w:val="0"/>
        <w:sz w:val="18"/>
        <w:szCs w:val="18"/>
        <w:lang w:val="en-US" w:eastAsia="zh-CN" w:bidi="ar-SA"/>
      </w:rPr>
      <w:pict>
        <v:shape id="Quad Arrow 1025"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32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46486"/>
    <w:rsid w:val="00043F01"/>
    <w:rsid w:val="000944E9"/>
    <w:rsid w:val="000C13DD"/>
    <w:rsid w:val="00246486"/>
    <w:rsid w:val="0028556D"/>
    <w:rsid w:val="002D6214"/>
    <w:rsid w:val="002F1D34"/>
    <w:rsid w:val="004575DF"/>
    <w:rsid w:val="00457EFD"/>
    <w:rsid w:val="00471BD5"/>
    <w:rsid w:val="004D7C76"/>
    <w:rsid w:val="005F5458"/>
    <w:rsid w:val="006F59B5"/>
    <w:rsid w:val="0071454B"/>
    <w:rsid w:val="00803B07"/>
    <w:rsid w:val="0084237D"/>
    <w:rsid w:val="008527F4"/>
    <w:rsid w:val="0096189E"/>
    <w:rsid w:val="00AC46D4"/>
    <w:rsid w:val="00B04725"/>
    <w:rsid w:val="00D55469"/>
    <w:rsid w:val="00D579B8"/>
    <w:rsid w:val="00D8222F"/>
    <w:rsid w:val="00E73B98"/>
    <w:rsid w:val="00E812D6"/>
    <w:rsid w:val="00E9701E"/>
    <w:rsid w:val="00F053E0"/>
    <w:rsid w:val="00FE0706"/>
    <w:rsid w:val="177865D0"/>
    <w:rsid w:val="30251DE9"/>
    <w:rsid w:val="3D020408"/>
    <w:rsid w:val="60791E17"/>
    <w:rsid w:val="6C1F406A"/>
    <w:rsid w:val="727162E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color w:val="auto"/>
      <w:kern w:val="2"/>
      <w:sz w:val="32"/>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99"/>
    <w:pPr>
      <w:tabs>
        <w:tab w:val="center" w:pos="4153"/>
        <w:tab w:val="right" w:pos="8306"/>
      </w:tabs>
      <w:snapToGrid w:val="0"/>
      <w:jc w:val="left"/>
    </w:pPr>
    <w:rPr>
      <w:rFonts w:ascii="微软雅黑" w:hAnsi="微软雅黑" w:cs="仿宋_GB2312"/>
      <w:color w:val="434343"/>
      <w:kern w:val="0"/>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rFonts w:ascii="微软雅黑" w:hAnsi="微软雅黑" w:cs="仿宋_GB2312"/>
      <w:color w:val="434343"/>
      <w:kern w:val="0"/>
      <w:sz w:val="18"/>
      <w:szCs w:val="18"/>
    </w:rPr>
  </w:style>
  <w:style w:type="paragraph" w:styleId="4">
    <w:name w:val="Normal (Web)"/>
    <w:basedOn w:val="1"/>
    <w:qFormat/>
    <w:uiPriority w:val="0"/>
    <w:pPr>
      <w:spacing w:beforeAutospacing="1" w:afterAutospacing="1"/>
      <w:jc w:val="left"/>
    </w:pPr>
    <w:rPr>
      <w:rFonts w:ascii="Calibri" w:hAnsi="Calibri" w:eastAsia="宋体"/>
      <w:kern w:val="0"/>
      <w:sz w:val="24"/>
    </w:rPr>
  </w:style>
  <w:style w:type="paragraph" w:customStyle="1" w:styleId="7">
    <w:name w:val="列出段落1"/>
    <w:basedOn w:val="1"/>
    <w:qFormat/>
    <w:uiPriority w:val="34"/>
    <w:pPr>
      <w:ind w:firstLine="420" w:firstLineChars="200"/>
    </w:pPr>
    <w:rPr>
      <w:rFonts w:eastAsia="宋体"/>
      <w:sz w:val="21"/>
      <w:szCs w:val="22"/>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722</Words>
  <Characters>4121</Characters>
  <Lines>34</Lines>
  <Paragraphs>9</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2018-04-08T02:42:00Z</dcterms:created>
  <dc:creator>Lenovo</dc:creator>
  <cp:lastModifiedBy>Lei</cp:lastModifiedBy>
  <dcterms:modified xsi:type="dcterms:W3CDTF">2019-11-01T08:14:28Z</dcterms:modified>
  <dc:title>景德镇市烟花爆竹燃放管理条例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