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B0B" w:rsidRDefault="00F04B0B" w:rsidP="00F321A3">
      <w:pPr>
        <w:pStyle w:val="p0"/>
        <w:widowControl w:val="0"/>
        <w:topLinePunct/>
        <w:adjustRightInd w:val="0"/>
        <w:snapToGrid w:val="0"/>
        <w:spacing w:line="566" w:lineRule="exact"/>
        <w:ind w:firstLineChars="200" w:firstLine="640"/>
        <w:rPr>
          <w:rFonts w:eastAsia="仿宋_GB2312"/>
          <w:snapToGrid w:val="0"/>
          <w:color w:val="000000"/>
          <w:kern w:val="2"/>
          <w:sz w:val="32"/>
          <w:szCs w:val="32"/>
        </w:rPr>
      </w:pPr>
    </w:p>
    <w:p w:rsidR="00F04B0B" w:rsidRPr="002137C1" w:rsidRDefault="00F04B0B" w:rsidP="00F321A3">
      <w:pPr>
        <w:pStyle w:val="p0"/>
        <w:widowControl w:val="0"/>
        <w:topLinePunct/>
        <w:adjustRightInd w:val="0"/>
        <w:snapToGrid w:val="0"/>
        <w:spacing w:line="566" w:lineRule="exact"/>
        <w:ind w:firstLineChars="200" w:firstLine="640"/>
        <w:rPr>
          <w:rFonts w:eastAsia="仿宋_GB2312"/>
          <w:snapToGrid w:val="0"/>
          <w:color w:val="000000"/>
          <w:kern w:val="2"/>
          <w:sz w:val="32"/>
          <w:szCs w:val="32"/>
        </w:rPr>
      </w:pPr>
    </w:p>
    <w:p w:rsidR="00F04B0B" w:rsidRPr="002137C1" w:rsidRDefault="00F04B0B" w:rsidP="00F321A3">
      <w:pPr>
        <w:pStyle w:val="3"/>
        <w:spacing w:line="566" w:lineRule="exact"/>
        <w:rPr>
          <w:color w:val="000000"/>
          <w:kern w:val="0"/>
        </w:rPr>
      </w:pPr>
      <w:r w:rsidRPr="002137C1">
        <w:rPr>
          <w:rFonts w:hint="eastAsia"/>
          <w:color w:val="000000"/>
          <w:kern w:val="0"/>
        </w:rPr>
        <w:t>曲靖市建设工程施工现场管理条例</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p>
    <w:p w:rsidR="00F04B0B" w:rsidRPr="002137C1" w:rsidRDefault="00F04B0B" w:rsidP="00F321A3">
      <w:pPr>
        <w:pStyle w:val="7"/>
        <w:spacing w:line="566" w:lineRule="exact"/>
        <w:rPr>
          <w:color w:val="000000"/>
        </w:rPr>
      </w:pPr>
      <w:r w:rsidRPr="002137C1">
        <w:rPr>
          <w:rFonts w:hint="eastAsia"/>
          <w:color w:val="000000"/>
        </w:rPr>
        <w:t>（</w:t>
      </w:r>
      <w:r w:rsidRPr="002137C1">
        <w:rPr>
          <w:color w:val="000000"/>
        </w:rPr>
        <w:t>2018</w:t>
      </w:r>
      <w:r w:rsidRPr="002137C1">
        <w:rPr>
          <w:rFonts w:hint="eastAsia"/>
          <w:color w:val="000000"/>
        </w:rPr>
        <w:t>年</w:t>
      </w:r>
      <w:r w:rsidRPr="002137C1">
        <w:rPr>
          <w:color w:val="000000"/>
        </w:rPr>
        <w:t>4</w:t>
      </w:r>
      <w:r w:rsidRPr="002137C1">
        <w:rPr>
          <w:rFonts w:hint="eastAsia"/>
          <w:color w:val="000000"/>
        </w:rPr>
        <w:t>月</w:t>
      </w:r>
      <w:r w:rsidRPr="002137C1">
        <w:rPr>
          <w:color w:val="000000"/>
        </w:rPr>
        <w:t>27</w:t>
      </w:r>
      <w:r w:rsidRPr="002137C1">
        <w:rPr>
          <w:rFonts w:hint="eastAsia"/>
          <w:color w:val="000000"/>
        </w:rPr>
        <w:t>日曲靖市第五届人民代表大会常务委员会第三次会议通过</w:t>
      </w:r>
      <w:r w:rsidRPr="002137C1">
        <w:rPr>
          <w:color w:val="000000"/>
        </w:rPr>
        <w:t xml:space="preserve">  2018</w:t>
      </w:r>
      <w:r w:rsidRPr="002137C1">
        <w:rPr>
          <w:rFonts w:hint="eastAsia"/>
          <w:color w:val="000000"/>
        </w:rPr>
        <w:t>年</w:t>
      </w:r>
      <w:r w:rsidRPr="002137C1">
        <w:rPr>
          <w:color w:val="000000"/>
        </w:rPr>
        <w:t>5</w:t>
      </w:r>
      <w:r w:rsidRPr="002137C1">
        <w:rPr>
          <w:rFonts w:hint="eastAsia"/>
          <w:color w:val="000000"/>
        </w:rPr>
        <w:t>月</w:t>
      </w:r>
      <w:r w:rsidRPr="002137C1">
        <w:rPr>
          <w:color w:val="000000"/>
        </w:rPr>
        <w:t>30</w:t>
      </w:r>
      <w:r w:rsidRPr="002137C1">
        <w:rPr>
          <w:rFonts w:hint="eastAsia"/>
          <w:color w:val="000000"/>
        </w:rPr>
        <w:t>日云南省第十三届人民代表大会常务委员会第三次会议批准）</w:t>
      </w:r>
    </w:p>
    <w:p w:rsidR="00F04B0B" w:rsidRPr="002137C1" w:rsidRDefault="00F04B0B" w:rsidP="00F321A3">
      <w:pPr>
        <w:topLinePunct/>
        <w:adjustRightInd w:val="0"/>
        <w:snapToGrid w:val="0"/>
        <w:spacing w:line="566" w:lineRule="exact"/>
        <w:ind w:firstLine="200"/>
        <w:rPr>
          <w:rFonts w:eastAsia="仿宋_GB2312"/>
          <w:snapToGrid w:val="0"/>
          <w:color w:val="000000"/>
          <w:sz w:val="32"/>
          <w:szCs w:val="32"/>
        </w:rPr>
      </w:pPr>
    </w:p>
    <w:p w:rsidR="00F04B0B" w:rsidRPr="002137C1" w:rsidRDefault="00F04B0B" w:rsidP="00F321A3">
      <w:pPr>
        <w:topLinePunct/>
        <w:adjustRightInd w:val="0"/>
        <w:snapToGrid w:val="0"/>
        <w:spacing w:line="566" w:lineRule="exact"/>
        <w:jc w:val="center"/>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目</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录</w:t>
      </w:r>
    </w:p>
    <w:p w:rsidR="00F04B0B" w:rsidRPr="002137C1" w:rsidRDefault="00F04B0B" w:rsidP="00F321A3">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第一章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总</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则</w:t>
      </w:r>
    </w:p>
    <w:p w:rsidR="00F04B0B" w:rsidRPr="002137C1" w:rsidRDefault="00F04B0B" w:rsidP="00F321A3">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第二章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立法准备</w:t>
      </w:r>
    </w:p>
    <w:p w:rsidR="00F04B0B" w:rsidRPr="002137C1" w:rsidRDefault="00F04B0B" w:rsidP="00F321A3">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第二章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施工管理</w:t>
      </w:r>
    </w:p>
    <w:p w:rsidR="00F04B0B" w:rsidRPr="002137C1" w:rsidRDefault="00F04B0B" w:rsidP="00F321A3">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第三章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环境卫生管理与污染防治</w:t>
      </w:r>
    </w:p>
    <w:p w:rsidR="00F04B0B" w:rsidRPr="002137C1" w:rsidRDefault="00F04B0B" w:rsidP="00F321A3">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第四章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安全管理</w:t>
      </w:r>
    </w:p>
    <w:p w:rsidR="00F04B0B" w:rsidRPr="002137C1" w:rsidRDefault="00F04B0B" w:rsidP="00F321A3">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第五章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法律责任</w:t>
      </w:r>
    </w:p>
    <w:p w:rsidR="00F04B0B" w:rsidRPr="002137C1" w:rsidRDefault="00F04B0B" w:rsidP="00F321A3">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第六章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附</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则</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r w:rsidRPr="002137C1">
        <w:rPr>
          <w:rFonts w:ascii="黑体" w:eastAsia="黑体" w:hAnsi="黑体" w:hint="eastAsia"/>
          <w:color w:val="000000"/>
          <w:kern w:val="0"/>
          <w:sz w:val="32"/>
          <w:szCs w:val="32"/>
        </w:rPr>
        <w:t>第一章</w:t>
      </w:r>
      <w:r w:rsidRPr="002137C1">
        <w:rPr>
          <w:rFonts w:ascii="黑体" w:eastAsia="黑体" w:hAnsi="黑体"/>
          <w:color w:val="000000"/>
          <w:kern w:val="0"/>
          <w:sz w:val="32"/>
          <w:szCs w:val="32"/>
        </w:rPr>
        <w:t xml:space="preserve">  </w:t>
      </w:r>
      <w:r w:rsidRPr="002137C1">
        <w:rPr>
          <w:rFonts w:ascii="黑体" w:eastAsia="黑体" w:hAnsi="黑体" w:hint="eastAsia"/>
          <w:color w:val="000000"/>
          <w:kern w:val="0"/>
          <w:sz w:val="32"/>
          <w:szCs w:val="32"/>
        </w:rPr>
        <w:t>总</w:t>
      </w:r>
      <w:r w:rsidRPr="002137C1">
        <w:rPr>
          <w:rFonts w:ascii="黑体" w:eastAsia="黑体" w:hAnsi="黑体"/>
          <w:color w:val="000000"/>
          <w:kern w:val="0"/>
          <w:sz w:val="32"/>
          <w:szCs w:val="32"/>
        </w:rPr>
        <w:t xml:space="preserve">  </w:t>
      </w:r>
      <w:r w:rsidRPr="002137C1">
        <w:rPr>
          <w:rFonts w:ascii="黑体" w:eastAsia="黑体" w:hAnsi="黑体" w:hint="eastAsia"/>
          <w:color w:val="000000"/>
          <w:kern w:val="0"/>
          <w:sz w:val="32"/>
          <w:szCs w:val="32"/>
        </w:rPr>
        <w:t>则</w:t>
      </w: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第一条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为了加强建设工程施工现场管理，保障建设工程安全、绿色、文明施工，保护和改善城乡环境，根据《中华人民共和国建筑法》《建设工程安全生产管理条例》等有关法律、法规，结合曲靖市实际，制定本条例。</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本条例适用于曲靖市行政区域内的建设工程施工现场管理活动。</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因抢险、抢修、救灾等应急需要而进行的施工现场活动不适用本条例。</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本条例所称建设工程施工现场（以下简称施工现场），是指房屋建筑、市政基础设施、建筑装饰装修等建设工程施工和建（构）筑物拆除活动所占用的场地。</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施工现场的范围以批准的建设工程用地、临时用地、临时占用道路等范围予以确定。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第四条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市住房城乡建设行政主管部门负责本市行政区域内施工现场的统一监督管理。县（市、区）住房城乡建设行政主管部门依照职责负责本行政区域内施工现场的监督管理，并接受市住房城乡建设行政主管部门的业务指导。</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市、县（市、区）其他负有施工现场监督管理职责的部门在各自职责范围内对施工现场实施监督管理。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第五条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spacing w:val="-10"/>
          <w:kern w:val="0"/>
          <w:sz w:val="32"/>
          <w:szCs w:val="32"/>
        </w:rPr>
        <w:t>建设、勘察、设计、施工、监理等单位应当依法履行施工现场管理职责，接受住房城乡建设行政主管部门的监督管理。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第六条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施工现场监督管理有关部门应当规范、公开、公正、文明执法，建立举报投诉制度，接受社会监督。</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r w:rsidRPr="002137C1">
        <w:rPr>
          <w:rFonts w:ascii="黑体" w:eastAsia="黑体" w:hAnsi="黑体" w:hint="eastAsia"/>
          <w:color w:val="000000"/>
          <w:kern w:val="0"/>
          <w:sz w:val="32"/>
          <w:szCs w:val="32"/>
        </w:rPr>
        <w:t>第二章</w:t>
      </w:r>
      <w:r w:rsidRPr="002137C1">
        <w:rPr>
          <w:rFonts w:ascii="黑体" w:eastAsia="黑体" w:hAnsi="黑体"/>
          <w:color w:val="000000"/>
          <w:kern w:val="0"/>
          <w:sz w:val="32"/>
          <w:szCs w:val="32"/>
        </w:rPr>
        <w:t xml:space="preserve">  </w:t>
      </w:r>
      <w:r w:rsidRPr="002137C1">
        <w:rPr>
          <w:rFonts w:ascii="黑体" w:eastAsia="黑体" w:hAnsi="黑体" w:hint="eastAsia"/>
          <w:color w:val="000000"/>
          <w:kern w:val="0"/>
          <w:sz w:val="32"/>
          <w:szCs w:val="32"/>
        </w:rPr>
        <w:t>施工管理</w:t>
      </w: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第七条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建设单位在编制工程概（预）算时，应当按照规定确定安全防护、文明施工措施费用。</w:t>
      </w:r>
    </w:p>
    <w:p w:rsidR="00F04B0B" w:rsidRPr="002137C1" w:rsidRDefault="00F04B0B" w:rsidP="00201306">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第八条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投资额在</w:t>
      </w:r>
      <w:r w:rsidRPr="002137C1">
        <w:rPr>
          <w:rFonts w:eastAsia="仿宋_GB2312"/>
          <w:color w:val="000000"/>
          <w:kern w:val="0"/>
          <w:sz w:val="32"/>
          <w:szCs w:val="32"/>
        </w:rPr>
        <w:t>100</w:t>
      </w:r>
      <w:r w:rsidRPr="002137C1">
        <w:rPr>
          <w:rFonts w:eastAsia="仿宋_GB2312" w:hint="eastAsia"/>
          <w:color w:val="000000"/>
          <w:kern w:val="0"/>
          <w:sz w:val="32"/>
          <w:szCs w:val="32"/>
        </w:rPr>
        <w:t>万元以上或者建筑面积在</w:t>
      </w:r>
      <w:r w:rsidRPr="002137C1">
        <w:rPr>
          <w:rFonts w:eastAsia="仿宋_GB2312"/>
          <w:color w:val="000000"/>
          <w:kern w:val="0"/>
          <w:sz w:val="32"/>
          <w:szCs w:val="32"/>
        </w:rPr>
        <w:t>1000</w:t>
      </w:r>
      <w:r w:rsidRPr="002137C1">
        <w:rPr>
          <w:rFonts w:eastAsia="仿宋_GB2312" w:hint="eastAsia"/>
          <w:color w:val="000000"/>
          <w:kern w:val="0"/>
          <w:sz w:val="32"/>
          <w:szCs w:val="32"/>
        </w:rPr>
        <w:t>平方米以上的建筑工程，建设单位应当依法申请领取施工许可证，未取得施工许可证的不得开工建设。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第九条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建设单位取得施工许可证后，建设单位或者施工单位发生变更的，应当向住房城乡建设行政主管部门重新申请领取施工许可证。</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施工许可证其他内容发生变更的，应当向住房城乡建设行政主管部门申请办理变更手续。</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建设工程开工前，建设单位可以委托具备相应资质的机构对施工影响范围内的建筑物、构筑物和地下管线等进行保全鉴定。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建设工程开工前，对施工影响范围内的建筑物、构筑物和地下管线等可能造成损害的，建设单位应当组织设计、施工、监理等有关单位采取有效措施，排除安全隐患。</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第十一条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建设单位应当向施工单位、监理单位提供经审查合格的施工图设计文件，督促施工单位、监理单位按照标准，规范做好施工现场管理。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第十二条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建设工程实行总承包和分包的，由总承包单位负责施工现场的统一管理，监督检查分包单位的施工现场管理。分包单位在其分包范围内履行施工现场管理职责。</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总承包单位可以受建设单位的委托，协调施工现场内由建设单位直接发包的其他单位的施工现场管理。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第十三条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施工单位、监理单位应当在施工现场设立项目管理机构，备有完整的施工图设计文件。项目经理、项目技术负责人、专职安全生产管理人员、项目总监理工程师等人员应当依法履行施工现场管理职责。</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第十四条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施工单位应当对施工现场人员进行信息采集、录入和考勤管理，并保证其真实性和完整性。</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第十五条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施工单位在工程建设中发现文物、古生物化石</w:t>
      </w:r>
      <w:r w:rsidRPr="002137C1">
        <w:rPr>
          <w:rFonts w:eastAsia="仿宋_GB2312" w:hint="eastAsia"/>
          <w:color w:val="000000"/>
          <w:spacing w:val="-4"/>
          <w:kern w:val="0"/>
          <w:sz w:val="32"/>
          <w:szCs w:val="32"/>
        </w:rPr>
        <w:t>的，应当保护现场，立即报告当地文物或者古生物化石主管部门。</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第十六条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建设工程未取得施工许可证的，监理单位不得签发开工令。擅自开工的，监理单位应当及时向住房城乡建设行政主管部门报告。</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第十七条</w:t>
      </w:r>
      <w:r w:rsidRPr="002137C1">
        <w:rPr>
          <w:rFonts w:ascii="黑体" w:eastAsia="黑体" w:hAnsi="黑体"/>
          <w:color w:val="000000"/>
          <w:kern w:val="0"/>
          <w:sz w:val="32"/>
          <w:szCs w:val="32"/>
        </w:rPr>
        <w:t xml:space="preserve">  </w:t>
      </w:r>
      <w:r w:rsidRPr="002137C1">
        <w:rPr>
          <w:rFonts w:eastAsia="仿宋_GB2312" w:hint="eastAsia"/>
          <w:color w:val="000000"/>
          <w:kern w:val="0"/>
          <w:sz w:val="32"/>
          <w:szCs w:val="32"/>
        </w:rPr>
        <w:t>监理单位发现转包、违法分包及挂靠等违法行为，应当及时向住房城乡建设行政主管部门报告。</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第十八条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监理单位应当做好工程关键部位和工序的旁站监理，及时组织和实施各环节质量验收。</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监理单位在见证取样、送检和现场见证检测中，应当履行监理责任，确保其真实性。</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第十九条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进入施工现场的建筑材料、构配件、设备、预拌混凝土等，应当符合国家、行业规定的质量标准。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主要出入口应当标有施工企业名称或者企业标志，设置规划许可、施工许可、工程概况、管理人员名单及监督电话、消防保卫、安全生产、文明施工和环境保护、扬尘污染防治、应急救援、施工现场总平面图等公示牌。</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r w:rsidRPr="002137C1">
        <w:rPr>
          <w:rFonts w:ascii="黑体" w:eastAsia="黑体" w:hAnsi="黑体" w:hint="eastAsia"/>
          <w:color w:val="000000"/>
          <w:kern w:val="0"/>
          <w:sz w:val="32"/>
          <w:szCs w:val="32"/>
        </w:rPr>
        <w:t>第三章</w:t>
      </w:r>
      <w:r w:rsidRPr="002137C1">
        <w:rPr>
          <w:rFonts w:ascii="黑体" w:eastAsia="黑体" w:hAnsi="黑体"/>
          <w:color w:val="000000"/>
          <w:kern w:val="0"/>
          <w:sz w:val="32"/>
          <w:szCs w:val="32"/>
        </w:rPr>
        <w:t xml:space="preserve">  </w:t>
      </w:r>
      <w:r w:rsidRPr="002137C1">
        <w:rPr>
          <w:rFonts w:ascii="黑体" w:eastAsia="黑体" w:hAnsi="黑体" w:hint="eastAsia"/>
          <w:color w:val="000000"/>
          <w:kern w:val="0"/>
          <w:sz w:val="32"/>
          <w:szCs w:val="32"/>
        </w:rPr>
        <w:t>环境卫生管理与污染防治</w:t>
      </w: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第二十一条</w:t>
      </w:r>
      <w:r w:rsidRPr="002137C1">
        <w:rPr>
          <w:rFonts w:ascii="黑体" w:eastAsia="黑体" w:hAnsi="黑体"/>
          <w:color w:val="000000"/>
          <w:kern w:val="0"/>
          <w:sz w:val="32"/>
          <w:szCs w:val="32"/>
        </w:rPr>
        <w:t xml:space="preserve">  </w:t>
      </w:r>
      <w:r w:rsidRPr="002137C1">
        <w:rPr>
          <w:rFonts w:eastAsia="仿宋_GB2312" w:hint="eastAsia"/>
          <w:color w:val="000000"/>
          <w:kern w:val="0"/>
          <w:sz w:val="32"/>
          <w:szCs w:val="32"/>
        </w:rPr>
        <w:t>施工单位应当采取有效措施改善施工现场环境卫生，防治大气、水、噪声、固体废物、光污染，并建立相应的管理和检查制度。</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第二十二条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施工现场应当符合以下规定：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（一）施工现场应当封闭施工，施工区、加工区、办公区、生活区划分清晰，并采取相应的隔离措施；</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（二）施工现场办公、宿舍、食堂、厕所、娱乐等临时用房应当符合安全、环保、卫生、消防等有关规定；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（三）施工现场应当根据工程地点、规模、施工周期和城市文化特点，设置与周边环境相协调的实体围挡和工地大门；城市建成区主要路段及其他涉及市容景观、旅游景点路段的工地围挡高度不得低于</w:t>
      </w:r>
      <w:r w:rsidRPr="002137C1">
        <w:rPr>
          <w:rFonts w:eastAsia="仿宋_GB2312"/>
          <w:color w:val="000000"/>
          <w:kern w:val="0"/>
          <w:sz w:val="32"/>
          <w:szCs w:val="32"/>
        </w:rPr>
        <w:t>2.5</w:t>
      </w:r>
      <w:r w:rsidRPr="002137C1">
        <w:rPr>
          <w:rFonts w:eastAsia="仿宋_GB2312" w:hint="eastAsia"/>
          <w:color w:val="000000"/>
          <w:kern w:val="0"/>
          <w:sz w:val="32"/>
          <w:szCs w:val="32"/>
        </w:rPr>
        <w:t>米，一般路段围挡高度不得低于</w:t>
      </w:r>
      <w:r w:rsidRPr="002137C1">
        <w:rPr>
          <w:rFonts w:eastAsia="仿宋_GB2312"/>
          <w:color w:val="000000"/>
          <w:kern w:val="0"/>
          <w:sz w:val="32"/>
          <w:szCs w:val="32"/>
        </w:rPr>
        <w:t>1.8</w:t>
      </w:r>
      <w:r w:rsidRPr="002137C1">
        <w:rPr>
          <w:rFonts w:eastAsia="仿宋_GB2312" w:hint="eastAsia"/>
          <w:color w:val="000000"/>
          <w:kern w:val="0"/>
          <w:sz w:val="32"/>
          <w:szCs w:val="32"/>
        </w:rPr>
        <w:t>米；围挡内侧</w:t>
      </w:r>
      <w:r w:rsidRPr="002137C1">
        <w:rPr>
          <w:rFonts w:eastAsia="仿宋_GB2312"/>
          <w:color w:val="000000"/>
          <w:kern w:val="0"/>
          <w:sz w:val="32"/>
          <w:szCs w:val="32"/>
        </w:rPr>
        <w:t>1</w:t>
      </w:r>
      <w:r w:rsidRPr="002137C1">
        <w:rPr>
          <w:rFonts w:eastAsia="仿宋_GB2312" w:hint="eastAsia"/>
          <w:color w:val="000000"/>
          <w:kern w:val="0"/>
          <w:sz w:val="32"/>
          <w:szCs w:val="32"/>
        </w:rPr>
        <w:t>米范围内不得堆载，围挡应当做到安全、整洁、美观；</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（四）市政基础设施工程、临时维修工程应当封闭施工，围挡高度不得低于</w:t>
      </w:r>
      <w:r w:rsidRPr="002137C1">
        <w:rPr>
          <w:rFonts w:eastAsia="仿宋_GB2312"/>
          <w:color w:val="000000"/>
          <w:kern w:val="0"/>
          <w:sz w:val="32"/>
          <w:szCs w:val="32"/>
        </w:rPr>
        <w:t>1.8</w:t>
      </w:r>
      <w:r w:rsidRPr="002137C1">
        <w:rPr>
          <w:rFonts w:eastAsia="仿宋_GB2312" w:hint="eastAsia"/>
          <w:color w:val="000000"/>
          <w:kern w:val="0"/>
          <w:sz w:val="32"/>
          <w:szCs w:val="32"/>
        </w:rPr>
        <w:t>米，周边应当设置夜间反光安全警示标志。距离交通路口</w:t>
      </w:r>
      <w:r w:rsidRPr="002137C1">
        <w:rPr>
          <w:rFonts w:eastAsia="仿宋_GB2312"/>
          <w:color w:val="000000"/>
          <w:kern w:val="0"/>
          <w:sz w:val="32"/>
          <w:szCs w:val="32"/>
        </w:rPr>
        <w:t>20</w:t>
      </w:r>
      <w:r w:rsidRPr="002137C1">
        <w:rPr>
          <w:rFonts w:eastAsia="仿宋_GB2312" w:hint="eastAsia"/>
          <w:color w:val="000000"/>
          <w:kern w:val="0"/>
          <w:sz w:val="32"/>
          <w:szCs w:val="32"/>
        </w:rPr>
        <w:t>米范围内占据道路施工设置的围挡，其</w:t>
      </w:r>
      <w:r w:rsidRPr="002137C1">
        <w:rPr>
          <w:rFonts w:eastAsia="仿宋_GB2312"/>
          <w:color w:val="000000"/>
          <w:kern w:val="0"/>
          <w:sz w:val="32"/>
          <w:szCs w:val="32"/>
        </w:rPr>
        <w:t>0.8</w:t>
      </w:r>
      <w:r w:rsidRPr="002137C1">
        <w:rPr>
          <w:rFonts w:eastAsia="仿宋_GB2312" w:hint="eastAsia"/>
          <w:color w:val="000000"/>
          <w:kern w:val="0"/>
          <w:sz w:val="32"/>
          <w:szCs w:val="32"/>
        </w:rPr>
        <w:t>米以上部分应当采用通透性围挡，并应当采取交通疏导和警示措施；</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（五）施工现场的钢筋、构件、模板等应当按照品种分规格堆放整齐；</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（六）施工现场的主要道路应当进行硬化处理；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（七）施工现场出口应当设置车辆冲洗设施，保持驶出车辆清洁。</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第二十三条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施工现场大气污染防治应当符合以下规定：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（一）施工现场应当采用隔离、洒水等措施，防止扬尘；</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（二）土方和物料应当集中堆放，裸露的场地和集中堆放的土方应当覆盖、固化或者绿化；</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（三）水泥等易飞扬的细颗粒建筑材料应当密闭存放或者采取覆盖等措施；</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（四）建筑物内施工垃圾的清运，应当采用相应容器或者管道运输，不得凌空抛掷；</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（五）严禁焚烧各类废弃物；</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（六）不得违反法律、法规对大气污染防治的其他规定。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第二十四条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施工现场水污染防治应当符合以下规定：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（一）施工现场污水经过处理后排入市政管网或者非市政管网均应达到国家有关排放标准；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（二）施工现场应当设置水冲式或者移动式厕所，厕所地面硬化，化粪池应当做防渗处理；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（三）不得违反法律、法规对水污染防治的其他规定。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第二十五条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施工现场噪声污染防治应当符合以下规定：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（一）按照建筑施工场界环境噪声排放标准的要求，采取相应的降噪措施；</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（二）在城市建成区和医院、学校、科研单位、公共场所、住宅及周边区域，不得在晚</w:t>
      </w:r>
      <w:r w:rsidRPr="002137C1">
        <w:rPr>
          <w:rFonts w:eastAsia="仿宋_GB2312"/>
          <w:color w:val="000000"/>
          <w:kern w:val="0"/>
          <w:sz w:val="32"/>
          <w:szCs w:val="32"/>
        </w:rPr>
        <w:t>10</w:t>
      </w:r>
      <w:r w:rsidRPr="002137C1">
        <w:rPr>
          <w:rFonts w:eastAsia="仿宋_GB2312" w:hint="eastAsia"/>
          <w:color w:val="000000"/>
          <w:kern w:val="0"/>
          <w:sz w:val="32"/>
          <w:szCs w:val="32"/>
        </w:rPr>
        <w:t>点至晨</w:t>
      </w:r>
      <w:r w:rsidRPr="002137C1">
        <w:rPr>
          <w:rFonts w:eastAsia="仿宋_GB2312"/>
          <w:color w:val="000000"/>
          <w:kern w:val="0"/>
          <w:sz w:val="32"/>
          <w:szCs w:val="32"/>
        </w:rPr>
        <w:t>6</w:t>
      </w:r>
      <w:r w:rsidRPr="002137C1">
        <w:rPr>
          <w:rFonts w:eastAsia="仿宋_GB2312" w:hint="eastAsia"/>
          <w:color w:val="000000"/>
          <w:kern w:val="0"/>
          <w:sz w:val="32"/>
          <w:szCs w:val="32"/>
        </w:rPr>
        <w:t>点之间进行产生环境噪声污染的建筑、装修和加工活动。因特殊需要必须连续作业的，应当经环境保护行政主管部门批准，并尽可能采取措施降低噪声污染；</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（三）中考、高考等重大社会活动期间的施工现场管理，依照《云南省曲靖城市管理条例》规定执行；</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（四）不得违反法律、法规对噪声污染防治的其他规定。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第二十六条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施工现场固体废物污染防治应当符合以下规定：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（一）土方、渣土和建筑垃圾运输应当使用符合要求的密闭式运输车辆或者采取覆盖措施，不得遗撒、滴漏，不得偷倒乱倒渣土、建筑垃圾；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（二）存放的油料、化学溶剂等物品应当设有专门的库房，地面进行防渗漏处理；</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（三）废弃的油料、化学溶剂等物品应当交由有资质的单位集中处理，并建立相应台账，严禁随意倾倒和填埋；</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（四）施工现场应当设置封闭式垃圾容器或者分类垃圾箱，生活垃圾及时清运出场；</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（五）不得违反法律、法规对固体废物污染防治的其他规定。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第二十七条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施工现场应当对强光作业和照明灯具采取遮挡措施，减少对周边居民和环境的影响。</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r w:rsidRPr="002137C1">
        <w:rPr>
          <w:rFonts w:ascii="黑体" w:eastAsia="黑体" w:hAnsi="黑体" w:hint="eastAsia"/>
          <w:color w:val="000000"/>
          <w:kern w:val="0"/>
          <w:sz w:val="32"/>
          <w:szCs w:val="32"/>
        </w:rPr>
        <w:t>第四章</w:t>
      </w:r>
      <w:r w:rsidRPr="002137C1">
        <w:rPr>
          <w:rFonts w:ascii="黑体" w:eastAsia="黑体" w:hAnsi="黑体"/>
          <w:color w:val="000000"/>
          <w:kern w:val="0"/>
          <w:sz w:val="32"/>
          <w:szCs w:val="32"/>
        </w:rPr>
        <w:t xml:space="preserve">  </w:t>
      </w:r>
      <w:r w:rsidRPr="002137C1">
        <w:rPr>
          <w:rFonts w:ascii="黑体" w:eastAsia="黑体" w:hAnsi="黑体" w:hint="eastAsia"/>
          <w:color w:val="000000"/>
          <w:kern w:val="0"/>
          <w:sz w:val="32"/>
          <w:szCs w:val="32"/>
        </w:rPr>
        <w:t>安全管理</w:t>
      </w: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第二十八条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建设工程在建设过程中因故中止或者恢复施工的，建设单位应当及时向住房城乡建设行政主管部门报告。</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建设工程在中止施工期间，建设单位应当与施工、监理等单位签订管理协议，明确停工期间施工现场管理责任。</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建设工程在中止施工后存在安全隐患的，建设单位应当及时组织施工单位、监理单位消除安全隐患。</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第二十九条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施工单位应当在危险性较大的分部分项工程施工前编制专项施工方案。</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施工单位应当组织专家对超过一定规模的危险性较大的分部分项工程的专项施工方案进行论证。</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施工单位应当严格按照专项施工方案组织施工，不得擅自修改。</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总监理工程师、专业监理工程师应当按照各自权限对危险性较大的分部分项工程每道施工工序的质量、安全进行确认签字后，方可指令施工单位进入下一道工序施工。</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第三十条</w:t>
      </w:r>
      <w:r w:rsidRPr="002137C1">
        <w:rPr>
          <w:rFonts w:ascii="黑体" w:eastAsia="黑体" w:hAnsi="黑体"/>
          <w:color w:val="000000"/>
          <w:kern w:val="0"/>
          <w:sz w:val="32"/>
          <w:szCs w:val="32"/>
        </w:rPr>
        <w:t xml:space="preserve">  </w:t>
      </w:r>
      <w:r w:rsidRPr="002137C1">
        <w:rPr>
          <w:rFonts w:eastAsia="仿宋_GB2312" w:hint="eastAsia"/>
          <w:color w:val="000000"/>
          <w:kern w:val="0"/>
          <w:sz w:val="32"/>
          <w:szCs w:val="32"/>
        </w:rPr>
        <w:t>建筑起重机械的安装、使用应当符合以下规定：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（一）产权单位应当到县级以上住房城乡建设行政主管部门办理备案；</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（二）安装单位应当在安装前向工程属地住房城乡建设行政主管部门书面报告；</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（三）使用前应当经过具有相应资质的单位安全检测合格；</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（四）重点部位应当安装安全监控管理系统；</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（五）使用单位应当在安装验收合格之日起</w:t>
      </w:r>
      <w:r w:rsidRPr="002137C1">
        <w:rPr>
          <w:rFonts w:eastAsia="仿宋_GB2312"/>
          <w:color w:val="000000"/>
          <w:kern w:val="0"/>
          <w:sz w:val="32"/>
          <w:szCs w:val="32"/>
        </w:rPr>
        <w:t>30</w:t>
      </w:r>
      <w:r w:rsidRPr="002137C1">
        <w:rPr>
          <w:rFonts w:eastAsia="仿宋_GB2312" w:hint="eastAsia"/>
          <w:color w:val="000000"/>
          <w:kern w:val="0"/>
          <w:sz w:val="32"/>
          <w:szCs w:val="32"/>
        </w:rPr>
        <w:t>日内，向工程属地住房城乡建设行政主管部门办理使用登记。</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第三十一条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施工现场用电应当符合国家施工现场临时用电安全技术规范要求，保障施工现场用电安全，防止触电和电气火灾事故发生。</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第三十二条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施工单位应当建立健全应急保障机制，制定安全事故应急预案，落实物资、设备、人员等应急资源，开展应急演练。</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r w:rsidRPr="002137C1">
        <w:rPr>
          <w:rFonts w:ascii="黑体" w:eastAsia="黑体" w:hAnsi="黑体" w:hint="eastAsia"/>
          <w:color w:val="000000"/>
          <w:kern w:val="0"/>
          <w:sz w:val="32"/>
          <w:szCs w:val="32"/>
        </w:rPr>
        <w:t>第五章</w:t>
      </w:r>
      <w:r w:rsidRPr="002137C1">
        <w:rPr>
          <w:rFonts w:ascii="黑体" w:eastAsia="黑体" w:hAnsi="黑体"/>
          <w:color w:val="000000"/>
          <w:kern w:val="0"/>
          <w:sz w:val="32"/>
          <w:szCs w:val="32"/>
        </w:rPr>
        <w:t xml:space="preserve">  </w:t>
      </w:r>
      <w:r w:rsidRPr="002137C1">
        <w:rPr>
          <w:rFonts w:ascii="黑体" w:eastAsia="黑体" w:hAnsi="黑体" w:hint="eastAsia"/>
          <w:color w:val="000000"/>
          <w:kern w:val="0"/>
          <w:sz w:val="32"/>
          <w:szCs w:val="32"/>
        </w:rPr>
        <w:t>法律责任</w:t>
      </w: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第三十三条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市、县（市、区）住房城乡建设行政主管部门和其他负有施工现场监督管理职责的部门及其工作人员滥用职权、玩忽职守、徇私舞弊、弄虚作假的，依法给予处分；构成犯罪的，依法追究刑事责任。</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第三十四条</w:t>
      </w:r>
      <w:r w:rsidRPr="002137C1">
        <w:rPr>
          <w:rFonts w:ascii="黑体" w:eastAsia="黑体" w:hAnsi="黑体"/>
          <w:color w:val="000000"/>
          <w:kern w:val="0"/>
          <w:sz w:val="32"/>
          <w:szCs w:val="32"/>
        </w:rPr>
        <w:t xml:space="preserve">  </w:t>
      </w:r>
      <w:r w:rsidRPr="002137C1">
        <w:rPr>
          <w:rFonts w:eastAsia="仿宋_GB2312" w:hint="eastAsia"/>
          <w:color w:val="000000"/>
          <w:kern w:val="0"/>
          <w:sz w:val="32"/>
          <w:szCs w:val="32"/>
        </w:rPr>
        <w:t>建设单位违反本条例的，由住房城乡建设行政主管部门按照下列规定处罚：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（一）违反第九条第一款规定的，责令停止施工，限期改正，处工程合同价款</w:t>
      </w:r>
      <w:r w:rsidRPr="002137C1">
        <w:rPr>
          <w:rFonts w:eastAsia="仿宋_GB2312"/>
          <w:color w:val="000000"/>
          <w:kern w:val="0"/>
          <w:sz w:val="32"/>
          <w:szCs w:val="32"/>
        </w:rPr>
        <w:t>1%</w:t>
      </w:r>
      <w:r w:rsidRPr="002137C1">
        <w:rPr>
          <w:rFonts w:eastAsia="仿宋_GB2312" w:hint="eastAsia"/>
          <w:color w:val="000000"/>
          <w:kern w:val="0"/>
          <w:sz w:val="32"/>
          <w:szCs w:val="32"/>
        </w:rPr>
        <w:t>以上</w:t>
      </w:r>
      <w:r w:rsidRPr="002137C1">
        <w:rPr>
          <w:rFonts w:eastAsia="仿宋_GB2312"/>
          <w:color w:val="000000"/>
          <w:kern w:val="0"/>
          <w:sz w:val="32"/>
          <w:szCs w:val="32"/>
        </w:rPr>
        <w:t>2%</w:t>
      </w:r>
      <w:r w:rsidRPr="002137C1">
        <w:rPr>
          <w:rFonts w:eastAsia="仿宋_GB2312" w:hint="eastAsia"/>
          <w:color w:val="000000"/>
          <w:kern w:val="0"/>
          <w:sz w:val="32"/>
          <w:szCs w:val="32"/>
        </w:rPr>
        <w:t>以下罚款；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（二）违反第九条第二款规定的，责令限期改正；逾期未改正的，处</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（三）违反第十条第二款规定的，责令限期改正；逾期未改正的，处</w:t>
      </w:r>
      <w:r w:rsidRPr="002137C1">
        <w:rPr>
          <w:rFonts w:eastAsia="仿宋_GB2312"/>
          <w:color w:val="000000"/>
          <w:kern w:val="0"/>
          <w:sz w:val="32"/>
          <w:szCs w:val="32"/>
        </w:rPr>
        <w:t>2</w:t>
      </w:r>
      <w:r w:rsidRPr="002137C1">
        <w:rPr>
          <w:rFonts w:eastAsia="仿宋_GB2312" w:hint="eastAsia"/>
          <w:color w:val="000000"/>
          <w:kern w:val="0"/>
          <w:sz w:val="32"/>
          <w:szCs w:val="32"/>
        </w:rPr>
        <w:t>万元以上</w:t>
      </w:r>
      <w:r w:rsidRPr="002137C1">
        <w:rPr>
          <w:rFonts w:eastAsia="仿宋_GB2312"/>
          <w:color w:val="000000"/>
          <w:kern w:val="0"/>
          <w:sz w:val="32"/>
          <w:szCs w:val="32"/>
        </w:rPr>
        <w:t>10</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（四）违反第十一条规定的，责令限期改正；逾期未改正的，处</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（五）违反第二十八条第一款、第二款规定的，责令限期改正；逾期未改正的，处</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5</w:t>
      </w:r>
      <w:r w:rsidRPr="002137C1">
        <w:rPr>
          <w:rFonts w:eastAsia="仿宋_GB2312" w:hint="eastAsia"/>
          <w:color w:val="000000"/>
          <w:kern w:val="0"/>
          <w:sz w:val="32"/>
          <w:szCs w:val="32"/>
        </w:rPr>
        <w:t>万元以下的罚款；违反第三款规定的，责令限期改正；逾期未改正的，处</w:t>
      </w:r>
      <w:r w:rsidRPr="002137C1">
        <w:rPr>
          <w:rFonts w:eastAsia="仿宋_GB2312"/>
          <w:color w:val="000000"/>
          <w:kern w:val="0"/>
          <w:sz w:val="32"/>
          <w:szCs w:val="32"/>
        </w:rPr>
        <w:t>2</w:t>
      </w:r>
      <w:r w:rsidRPr="002137C1">
        <w:rPr>
          <w:rFonts w:eastAsia="仿宋_GB2312" w:hint="eastAsia"/>
          <w:color w:val="000000"/>
          <w:kern w:val="0"/>
          <w:sz w:val="32"/>
          <w:szCs w:val="32"/>
        </w:rPr>
        <w:t>万元以上</w:t>
      </w:r>
      <w:r w:rsidRPr="002137C1">
        <w:rPr>
          <w:rFonts w:eastAsia="仿宋_GB2312"/>
          <w:color w:val="000000"/>
          <w:kern w:val="0"/>
          <w:sz w:val="32"/>
          <w:szCs w:val="32"/>
        </w:rPr>
        <w:t>10</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第三十五条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施工单位违反本条例的，由住房城乡建设行政主管部门按照下列规定处罚：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（一）违反第十三条规定的，责令限期改正；逾期未改正的，处</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（二）违反第二十九条第一款规定的，依照《建设工程安全生产管理条例》对单位进行处罚；对直接负责的主管人员和其他直接责任人员处</w:t>
      </w:r>
      <w:r w:rsidRPr="002137C1">
        <w:rPr>
          <w:rFonts w:eastAsia="仿宋_GB2312"/>
          <w:color w:val="000000"/>
          <w:kern w:val="0"/>
          <w:sz w:val="32"/>
          <w:szCs w:val="32"/>
        </w:rPr>
        <w:t>1000</w:t>
      </w:r>
      <w:r w:rsidRPr="002137C1">
        <w:rPr>
          <w:rFonts w:eastAsia="仿宋_GB2312" w:hint="eastAsia"/>
          <w:color w:val="000000"/>
          <w:kern w:val="0"/>
          <w:sz w:val="32"/>
          <w:szCs w:val="32"/>
        </w:rPr>
        <w:t>元以上</w:t>
      </w:r>
      <w:r w:rsidRPr="002137C1">
        <w:rPr>
          <w:rFonts w:eastAsia="仿宋_GB2312"/>
          <w:color w:val="000000"/>
          <w:kern w:val="0"/>
          <w:sz w:val="32"/>
          <w:szCs w:val="32"/>
        </w:rPr>
        <w:t>5000</w:t>
      </w:r>
      <w:r w:rsidRPr="002137C1">
        <w:rPr>
          <w:rFonts w:eastAsia="仿宋_GB2312" w:hint="eastAsia"/>
          <w:color w:val="000000"/>
          <w:kern w:val="0"/>
          <w:sz w:val="32"/>
          <w:szCs w:val="32"/>
        </w:rPr>
        <w:t>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（三）违反第二十九条第二款、第三款规定的，责令限期改正，处</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万元以下的罚款；对直接负责的主管人员和其他直接责任人员处</w:t>
      </w:r>
      <w:r w:rsidRPr="002137C1">
        <w:rPr>
          <w:rFonts w:eastAsia="仿宋_GB2312"/>
          <w:color w:val="000000"/>
          <w:kern w:val="0"/>
          <w:sz w:val="32"/>
          <w:szCs w:val="32"/>
        </w:rPr>
        <w:t>1000</w:t>
      </w:r>
      <w:r w:rsidRPr="002137C1">
        <w:rPr>
          <w:rFonts w:eastAsia="仿宋_GB2312" w:hint="eastAsia"/>
          <w:color w:val="000000"/>
          <w:kern w:val="0"/>
          <w:sz w:val="32"/>
          <w:szCs w:val="32"/>
        </w:rPr>
        <w:t>元以上</w:t>
      </w:r>
      <w:r w:rsidRPr="002137C1">
        <w:rPr>
          <w:rFonts w:eastAsia="仿宋_GB2312"/>
          <w:color w:val="000000"/>
          <w:kern w:val="0"/>
          <w:sz w:val="32"/>
          <w:szCs w:val="32"/>
        </w:rPr>
        <w:t>5000</w:t>
      </w:r>
      <w:r w:rsidRPr="002137C1">
        <w:rPr>
          <w:rFonts w:eastAsia="仿宋_GB2312" w:hint="eastAsia"/>
          <w:color w:val="000000"/>
          <w:kern w:val="0"/>
          <w:sz w:val="32"/>
          <w:szCs w:val="32"/>
        </w:rPr>
        <w:t>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第三十六条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监理单位违反本条例的，由住房城乡建设行政主管部门按照下列规定处罚：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（一）违反第十三条规定的，责令限期改正；逾期未改正的，处</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w:t>
      </w:r>
      <w:r w:rsidRPr="002137C1">
        <w:rPr>
          <w:rFonts w:eastAsia="仿宋_GB2312" w:hint="eastAsia"/>
          <w:color w:val="000000"/>
          <w:spacing w:val="-8"/>
          <w:kern w:val="0"/>
          <w:sz w:val="32"/>
          <w:szCs w:val="32"/>
        </w:rPr>
        <w:t>）违反第十六条规定的，处</w:t>
      </w:r>
      <w:r w:rsidRPr="002137C1">
        <w:rPr>
          <w:rFonts w:eastAsia="仿宋_GB2312"/>
          <w:color w:val="000000"/>
          <w:spacing w:val="-8"/>
          <w:kern w:val="0"/>
          <w:sz w:val="32"/>
          <w:szCs w:val="32"/>
        </w:rPr>
        <w:t>1</w:t>
      </w:r>
      <w:r w:rsidRPr="002137C1">
        <w:rPr>
          <w:rFonts w:eastAsia="仿宋_GB2312" w:hint="eastAsia"/>
          <w:color w:val="000000"/>
          <w:spacing w:val="-8"/>
          <w:kern w:val="0"/>
          <w:sz w:val="32"/>
          <w:szCs w:val="32"/>
        </w:rPr>
        <w:t>万元以上</w:t>
      </w:r>
      <w:r w:rsidRPr="002137C1">
        <w:rPr>
          <w:rFonts w:eastAsia="仿宋_GB2312"/>
          <w:color w:val="000000"/>
          <w:spacing w:val="-8"/>
          <w:kern w:val="0"/>
          <w:sz w:val="32"/>
          <w:szCs w:val="32"/>
        </w:rPr>
        <w:t>3</w:t>
      </w:r>
      <w:r w:rsidRPr="002137C1">
        <w:rPr>
          <w:rFonts w:eastAsia="仿宋_GB2312" w:hint="eastAsia"/>
          <w:color w:val="000000"/>
          <w:spacing w:val="-8"/>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（三）违反第十七条规定的，处</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（四）违反第十八条规定的，责令限期改正；逾期未改正的，处</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（五）违反第二十九条第四款规定的，处</w:t>
      </w:r>
      <w:r w:rsidRPr="002137C1">
        <w:rPr>
          <w:rFonts w:eastAsia="仿宋_GB2312"/>
          <w:color w:val="000000"/>
          <w:kern w:val="0"/>
          <w:sz w:val="32"/>
          <w:szCs w:val="32"/>
        </w:rPr>
        <w:t>3</w:t>
      </w:r>
      <w:r w:rsidRPr="002137C1">
        <w:rPr>
          <w:rFonts w:eastAsia="仿宋_GB2312" w:hint="eastAsia"/>
          <w:color w:val="000000"/>
          <w:kern w:val="0"/>
          <w:sz w:val="32"/>
          <w:szCs w:val="32"/>
        </w:rPr>
        <w:t>万元以上</w:t>
      </w:r>
      <w:r w:rsidRPr="002137C1">
        <w:rPr>
          <w:rFonts w:eastAsia="仿宋_GB2312"/>
          <w:color w:val="000000"/>
          <w:kern w:val="0"/>
          <w:sz w:val="32"/>
          <w:szCs w:val="32"/>
        </w:rPr>
        <w:t>5</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第三十七条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有关责任单位违反本条例的，由住房城乡建设行政主管部门，按照下列规定处罚：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（一）违反第三十条第一项的，责令限期改正，予以警告，并处以</w:t>
      </w:r>
      <w:r w:rsidRPr="002137C1">
        <w:rPr>
          <w:rFonts w:eastAsia="仿宋_GB2312"/>
          <w:color w:val="000000"/>
          <w:kern w:val="0"/>
          <w:sz w:val="32"/>
          <w:szCs w:val="32"/>
        </w:rPr>
        <w:t>5000</w:t>
      </w:r>
      <w:r w:rsidRPr="002137C1">
        <w:rPr>
          <w:rFonts w:eastAsia="仿宋_GB2312" w:hint="eastAsia"/>
          <w:color w:val="000000"/>
          <w:kern w:val="0"/>
          <w:sz w:val="32"/>
          <w:szCs w:val="32"/>
        </w:rPr>
        <w:t>元以上</w:t>
      </w:r>
      <w:r w:rsidRPr="002137C1">
        <w:rPr>
          <w:rFonts w:eastAsia="仿宋_GB2312"/>
          <w:color w:val="000000"/>
          <w:kern w:val="0"/>
          <w:sz w:val="32"/>
          <w:szCs w:val="32"/>
        </w:rPr>
        <w:t>1</w:t>
      </w:r>
      <w:r w:rsidRPr="002137C1">
        <w:rPr>
          <w:rFonts w:eastAsia="仿宋_GB2312" w:hint="eastAsia"/>
          <w:color w:val="000000"/>
          <w:kern w:val="0"/>
          <w:sz w:val="32"/>
          <w:szCs w:val="32"/>
        </w:rPr>
        <w:t>万元以下罚款；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（二）违反第三十条第二项的，责令限期改正，予以警告，并处以</w:t>
      </w:r>
      <w:r w:rsidRPr="002137C1">
        <w:rPr>
          <w:rFonts w:eastAsia="仿宋_GB2312"/>
          <w:color w:val="000000"/>
          <w:kern w:val="0"/>
          <w:sz w:val="32"/>
          <w:szCs w:val="32"/>
        </w:rPr>
        <w:t>5000</w:t>
      </w:r>
      <w:r w:rsidRPr="002137C1">
        <w:rPr>
          <w:rFonts w:eastAsia="仿宋_GB2312" w:hint="eastAsia"/>
          <w:color w:val="000000"/>
          <w:kern w:val="0"/>
          <w:sz w:val="32"/>
          <w:szCs w:val="32"/>
        </w:rPr>
        <w:t>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eastAsia="仿宋_GB2312" w:hint="eastAsia"/>
          <w:color w:val="000000"/>
          <w:kern w:val="0"/>
          <w:sz w:val="32"/>
          <w:szCs w:val="32"/>
        </w:rPr>
        <w:t>（三）违反第三十条第四项的，责令限期改正；逾期未改正的，处责任单位</w:t>
      </w:r>
      <w:r w:rsidRPr="002137C1">
        <w:rPr>
          <w:rFonts w:eastAsia="仿宋_GB2312"/>
          <w:color w:val="000000"/>
          <w:kern w:val="0"/>
          <w:sz w:val="32"/>
          <w:szCs w:val="32"/>
        </w:rPr>
        <w:t>1</w:t>
      </w:r>
      <w:r w:rsidRPr="002137C1">
        <w:rPr>
          <w:rFonts w:eastAsia="仿宋_GB2312" w:hint="eastAsia"/>
          <w:color w:val="000000"/>
          <w:kern w:val="0"/>
          <w:sz w:val="32"/>
          <w:szCs w:val="32"/>
        </w:rPr>
        <w:t>万元以上</w:t>
      </w:r>
      <w:r w:rsidRPr="002137C1">
        <w:rPr>
          <w:rFonts w:eastAsia="仿宋_GB2312"/>
          <w:color w:val="000000"/>
          <w:kern w:val="0"/>
          <w:sz w:val="32"/>
          <w:szCs w:val="32"/>
        </w:rPr>
        <w:t>3</w:t>
      </w:r>
      <w:r w:rsidRPr="002137C1">
        <w:rPr>
          <w:rFonts w:eastAsia="仿宋_GB2312" w:hint="eastAsia"/>
          <w:color w:val="000000"/>
          <w:kern w:val="0"/>
          <w:sz w:val="32"/>
          <w:szCs w:val="32"/>
        </w:rPr>
        <w:t>万元以下的罚款。</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第三十八条</w:t>
      </w:r>
      <w:r w:rsidRPr="002137C1">
        <w:rPr>
          <w:rFonts w:ascii="黑体" w:eastAsia="黑体" w:hAnsi="黑体"/>
          <w:color w:val="000000"/>
          <w:kern w:val="0"/>
          <w:sz w:val="32"/>
          <w:szCs w:val="32"/>
        </w:rPr>
        <w:t xml:space="preserve"> </w:t>
      </w:r>
      <w:r w:rsidRPr="002137C1">
        <w:rPr>
          <w:rFonts w:eastAsia="仿宋_GB2312"/>
          <w:color w:val="000000"/>
          <w:kern w:val="0"/>
          <w:sz w:val="32"/>
          <w:szCs w:val="32"/>
        </w:rPr>
        <w:t xml:space="preserve"> </w:t>
      </w:r>
      <w:r w:rsidRPr="002137C1">
        <w:rPr>
          <w:rFonts w:eastAsia="仿宋_GB2312" w:hint="eastAsia"/>
          <w:color w:val="000000"/>
          <w:kern w:val="0"/>
          <w:sz w:val="32"/>
          <w:szCs w:val="32"/>
        </w:rPr>
        <w:t>违反本条例规定应负法律责任的其他行为，依照有关法律、法规的规定予以处罚。</w:t>
      </w: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r w:rsidRPr="002137C1">
        <w:rPr>
          <w:rFonts w:ascii="黑体" w:eastAsia="黑体" w:hAnsi="黑体" w:hint="eastAsia"/>
          <w:color w:val="000000"/>
          <w:kern w:val="0"/>
          <w:sz w:val="32"/>
          <w:szCs w:val="32"/>
        </w:rPr>
        <w:t>第六章</w:t>
      </w:r>
      <w:r w:rsidRPr="002137C1">
        <w:rPr>
          <w:rFonts w:ascii="黑体" w:eastAsia="黑体" w:hAnsi="黑体"/>
          <w:color w:val="000000"/>
          <w:kern w:val="0"/>
          <w:sz w:val="32"/>
          <w:szCs w:val="32"/>
        </w:rPr>
        <w:t xml:space="preserve">  </w:t>
      </w:r>
      <w:r w:rsidRPr="002137C1">
        <w:rPr>
          <w:rFonts w:ascii="黑体" w:eastAsia="黑体" w:hAnsi="黑体" w:hint="eastAsia"/>
          <w:color w:val="000000"/>
          <w:kern w:val="0"/>
          <w:sz w:val="32"/>
          <w:szCs w:val="32"/>
        </w:rPr>
        <w:t>附</w:t>
      </w:r>
      <w:r w:rsidRPr="002137C1">
        <w:rPr>
          <w:rFonts w:ascii="黑体" w:eastAsia="黑体" w:hAnsi="黑体"/>
          <w:color w:val="000000"/>
          <w:kern w:val="0"/>
          <w:sz w:val="32"/>
          <w:szCs w:val="32"/>
        </w:rPr>
        <w:t xml:space="preserve">  </w:t>
      </w:r>
      <w:r w:rsidRPr="002137C1">
        <w:rPr>
          <w:rFonts w:ascii="黑体" w:eastAsia="黑体" w:hAnsi="黑体" w:hint="eastAsia"/>
          <w:color w:val="000000"/>
          <w:kern w:val="0"/>
          <w:sz w:val="32"/>
          <w:szCs w:val="32"/>
        </w:rPr>
        <w:t>则</w:t>
      </w:r>
    </w:p>
    <w:p w:rsidR="00F04B0B" w:rsidRPr="002137C1" w:rsidRDefault="00F04B0B" w:rsidP="00F321A3">
      <w:pPr>
        <w:topLinePunct/>
        <w:adjustRightInd w:val="0"/>
        <w:snapToGrid w:val="0"/>
        <w:spacing w:line="566" w:lineRule="exact"/>
        <w:jc w:val="center"/>
        <w:rPr>
          <w:rFonts w:ascii="黑体" w:eastAsia="黑体" w:hAnsi="黑体"/>
          <w:color w:val="000000"/>
          <w:kern w:val="0"/>
          <w:sz w:val="32"/>
          <w:szCs w:val="32"/>
        </w:rPr>
      </w:pPr>
    </w:p>
    <w:p w:rsidR="00F04B0B" w:rsidRPr="002137C1" w:rsidRDefault="00F04B0B" w:rsidP="00F321A3">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第三十九条</w:t>
      </w:r>
      <w:r w:rsidRPr="002137C1">
        <w:rPr>
          <w:rFonts w:eastAsia="仿宋_GB2312"/>
          <w:color w:val="000000"/>
          <w:kern w:val="0"/>
          <w:sz w:val="32"/>
          <w:szCs w:val="32"/>
        </w:rPr>
        <w:t xml:space="preserve">  </w:t>
      </w:r>
      <w:r w:rsidRPr="002137C1">
        <w:rPr>
          <w:rFonts w:eastAsia="仿宋_GB2312" w:hint="eastAsia"/>
          <w:color w:val="000000"/>
          <w:kern w:val="0"/>
          <w:sz w:val="32"/>
          <w:szCs w:val="32"/>
        </w:rPr>
        <w:t>储备地块和待建地块分别由土地储备管理机构和土地权属单位依照本条例进行管理。</w:t>
      </w:r>
    </w:p>
    <w:p w:rsidR="00F04B0B" w:rsidRPr="009428C4" w:rsidRDefault="00F04B0B" w:rsidP="009428C4">
      <w:pPr>
        <w:topLinePunct/>
        <w:adjustRightInd w:val="0"/>
        <w:snapToGrid w:val="0"/>
        <w:spacing w:line="566" w:lineRule="exact"/>
        <w:ind w:firstLineChars="200" w:firstLine="640"/>
        <w:rPr>
          <w:rFonts w:eastAsia="仿宋_GB2312"/>
          <w:color w:val="000000"/>
          <w:kern w:val="0"/>
          <w:sz w:val="32"/>
          <w:szCs w:val="32"/>
        </w:rPr>
      </w:pPr>
      <w:r w:rsidRPr="002137C1">
        <w:rPr>
          <w:rFonts w:ascii="黑体" w:eastAsia="黑体" w:hAnsi="黑体" w:hint="eastAsia"/>
          <w:color w:val="000000"/>
          <w:kern w:val="0"/>
          <w:sz w:val="32"/>
          <w:szCs w:val="32"/>
        </w:rPr>
        <w:t>第四十条</w:t>
      </w:r>
      <w:r w:rsidRPr="002137C1">
        <w:rPr>
          <w:rFonts w:ascii="黑体" w:eastAsia="黑体" w:hAnsi="黑体"/>
          <w:color w:val="000000"/>
          <w:kern w:val="0"/>
          <w:sz w:val="32"/>
          <w:szCs w:val="32"/>
        </w:rPr>
        <w:t xml:space="preserve">  </w:t>
      </w:r>
      <w:r w:rsidRPr="002137C1">
        <w:rPr>
          <w:rFonts w:eastAsia="仿宋_GB2312" w:hint="eastAsia"/>
          <w:color w:val="000000"/>
          <w:kern w:val="0"/>
          <w:sz w:val="32"/>
          <w:szCs w:val="32"/>
        </w:rPr>
        <w:t>本条例自</w:t>
      </w:r>
      <w:smartTag w:uri="urn:schemas-microsoft-com:office:smarttags" w:element="chsdate">
        <w:smartTagPr>
          <w:attr w:name="IsROCDate" w:val="False"/>
          <w:attr w:name="IsLunarDate" w:val="False"/>
          <w:attr w:name="Day" w:val="1"/>
          <w:attr w:name="Month" w:val="8"/>
          <w:attr w:name="Year" w:val="2018"/>
        </w:smartTagPr>
        <w:r w:rsidRPr="002137C1">
          <w:rPr>
            <w:rFonts w:eastAsia="仿宋_GB2312"/>
            <w:color w:val="000000"/>
            <w:kern w:val="0"/>
            <w:sz w:val="32"/>
            <w:szCs w:val="32"/>
          </w:rPr>
          <w:t>2018</w:t>
        </w:r>
        <w:r w:rsidRPr="002137C1">
          <w:rPr>
            <w:rFonts w:eastAsia="仿宋_GB2312" w:hint="eastAsia"/>
            <w:color w:val="000000"/>
            <w:kern w:val="0"/>
            <w:sz w:val="32"/>
            <w:szCs w:val="32"/>
          </w:rPr>
          <w:t>年</w:t>
        </w:r>
        <w:r w:rsidRPr="002137C1">
          <w:rPr>
            <w:rFonts w:eastAsia="仿宋_GB2312"/>
            <w:color w:val="000000"/>
            <w:kern w:val="0"/>
            <w:sz w:val="32"/>
            <w:szCs w:val="32"/>
          </w:rPr>
          <w:t>8</w:t>
        </w:r>
        <w:r w:rsidRPr="002137C1">
          <w:rPr>
            <w:rFonts w:eastAsia="仿宋_GB2312" w:hint="eastAsia"/>
            <w:color w:val="000000"/>
            <w:kern w:val="0"/>
            <w:sz w:val="32"/>
            <w:szCs w:val="32"/>
          </w:rPr>
          <w:t>月</w:t>
        </w:r>
        <w:r w:rsidRPr="002137C1">
          <w:rPr>
            <w:rFonts w:eastAsia="仿宋_GB2312"/>
            <w:color w:val="000000"/>
            <w:kern w:val="0"/>
            <w:sz w:val="32"/>
            <w:szCs w:val="32"/>
          </w:rPr>
          <w:t>1</w:t>
        </w:r>
        <w:r w:rsidRPr="002137C1">
          <w:rPr>
            <w:rFonts w:eastAsia="仿宋_GB2312" w:hint="eastAsia"/>
            <w:color w:val="000000"/>
            <w:kern w:val="0"/>
            <w:sz w:val="32"/>
            <w:szCs w:val="32"/>
          </w:rPr>
          <w:t>日</w:t>
        </w:r>
      </w:smartTag>
      <w:r w:rsidRPr="002137C1">
        <w:rPr>
          <w:rFonts w:eastAsia="仿宋_GB2312" w:hint="eastAsia"/>
          <w:color w:val="000000"/>
          <w:kern w:val="0"/>
          <w:sz w:val="32"/>
          <w:szCs w:val="32"/>
        </w:rPr>
        <w:t>起施行。</w:t>
      </w:r>
      <w:r w:rsidRPr="002137C1">
        <w:rPr>
          <w:snapToGrid w:val="0"/>
        </w:rPr>
        <w:t xml:space="preserve"> </w:t>
      </w:r>
    </w:p>
    <w:sectPr w:rsidR="00F04B0B" w:rsidRPr="009428C4" w:rsidSect="00BF0515">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3"/>
    </wne:keymap>
    <wne:keymap wne:kcmPrimary="0262">
      <wne:acd wne:acdName="acd2"/>
    </wne:keymap>
  </wne:keymaps>
  <wne:toolbars>
    <wne:acdManifest>
      <wne:acdEntry wne:acdName="acd0"/>
      <wne:acdEntry wne:acdName="acd1"/>
      <wne:acdEntry wne:acdName="acd2"/>
      <wne:acdEntry wne:acdName="acd3"/>
    </wne:acdManifest>
  </wne:toolbars>
  <wne:acds>
    <wne:acd wne:argValue="AgA3aA9fMwA=" wne:acdName="acd0" wne:fciIndexBasedOn="0065"/>
    <wne:acd wne:acdName="acd1" wne:fciIndexBasedOn="0065"/>
    <wne:acd wne:argValue="AgA3aA9fNwA=" wne:acdName="acd2" wne:fciIndexBasedOn="0065"/>
    <wne:acd wne:argValue="AgA3aA9fO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B0B" w:rsidRDefault="00F04B0B">
      <w:r>
        <w:separator/>
      </w:r>
    </w:p>
  </w:endnote>
  <w:endnote w:type="continuationSeparator" w:id="0">
    <w:p w:rsidR="00F04B0B" w:rsidRDefault="00F04B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B0B" w:rsidRDefault="00F04B0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F04B0B" w:rsidRDefault="00F04B0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B0B" w:rsidRDefault="00F04B0B">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11</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F04B0B" w:rsidRDefault="00F04B0B">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B0B" w:rsidRDefault="00F04B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B0B" w:rsidRDefault="00F04B0B">
      <w:r>
        <w:separator/>
      </w:r>
    </w:p>
  </w:footnote>
  <w:footnote w:type="continuationSeparator" w:id="0">
    <w:p w:rsidR="00F04B0B" w:rsidRDefault="00F04B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B0B" w:rsidRDefault="00F04B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B0B" w:rsidRDefault="00F04B0B">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B0B" w:rsidRDefault="00F04B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3F9"/>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6D8"/>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5825"/>
    <w:rsid w:val="001C5A0E"/>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2E1"/>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8CF"/>
    <w:rsid w:val="00203CC5"/>
    <w:rsid w:val="00204A1A"/>
    <w:rsid w:val="002079B4"/>
    <w:rsid w:val="00207FFC"/>
    <w:rsid w:val="0021017B"/>
    <w:rsid w:val="002111D7"/>
    <w:rsid w:val="00212954"/>
    <w:rsid w:val="002137C1"/>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73C6"/>
    <w:rsid w:val="00297522"/>
    <w:rsid w:val="002A0629"/>
    <w:rsid w:val="002A0A8C"/>
    <w:rsid w:val="002A1B48"/>
    <w:rsid w:val="002A22BE"/>
    <w:rsid w:val="002A2682"/>
    <w:rsid w:val="002A2FA7"/>
    <w:rsid w:val="002A5D10"/>
    <w:rsid w:val="002A6177"/>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3055"/>
    <w:rsid w:val="00324661"/>
    <w:rsid w:val="00324A71"/>
    <w:rsid w:val="003258C5"/>
    <w:rsid w:val="00326291"/>
    <w:rsid w:val="003265DE"/>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47B"/>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5E07"/>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4529"/>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502F"/>
    <w:rsid w:val="00535E67"/>
    <w:rsid w:val="00536058"/>
    <w:rsid w:val="005362BE"/>
    <w:rsid w:val="005373B7"/>
    <w:rsid w:val="00537CE8"/>
    <w:rsid w:val="00540593"/>
    <w:rsid w:val="0054107D"/>
    <w:rsid w:val="005419E3"/>
    <w:rsid w:val="00542230"/>
    <w:rsid w:val="00543023"/>
    <w:rsid w:val="00543DDA"/>
    <w:rsid w:val="00545F82"/>
    <w:rsid w:val="00545FD3"/>
    <w:rsid w:val="005462F5"/>
    <w:rsid w:val="00546537"/>
    <w:rsid w:val="005477A1"/>
    <w:rsid w:val="00547903"/>
    <w:rsid w:val="0055052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98"/>
    <w:rsid w:val="005A000E"/>
    <w:rsid w:val="005A015B"/>
    <w:rsid w:val="005A104E"/>
    <w:rsid w:val="005A3B63"/>
    <w:rsid w:val="005A3C22"/>
    <w:rsid w:val="005A3F86"/>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0EB6"/>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1025"/>
    <w:rsid w:val="006513B3"/>
    <w:rsid w:val="00652191"/>
    <w:rsid w:val="00652BE1"/>
    <w:rsid w:val="00652D7C"/>
    <w:rsid w:val="00653183"/>
    <w:rsid w:val="0065330F"/>
    <w:rsid w:val="006566F5"/>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8C9"/>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CCB"/>
    <w:rsid w:val="0086615D"/>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E2D"/>
    <w:rsid w:val="00896105"/>
    <w:rsid w:val="008A0A47"/>
    <w:rsid w:val="008A260F"/>
    <w:rsid w:val="008A315A"/>
    <w:rsid w:val="008A4A8E"/>
    <w:rsid w:val="008A4B97"/>
    <w:rsid w:val="008A5263"/>
    <w:rsid w:val="008A67DB"/>
    <w:rsid w:val="008A6814"/>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28C4"/>
    <w:rsid w:val="009431E6"/>
    <w:rsid w:val="0094527D"/>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3AD"/>
    <w:rsid w:val="009926B5"/>
    <w:rsid w:val="00992BDA"/>
    <w:rsid w:val="009930ED"/>
    <w:rsid w:val="00995104"/>
    <w:rsid w:val="00997451"/>
    <w:rsid w:val="00997E91"/>
    <w:rsid w:val="00997FCE"/>
    <w:rsid w:val="009A23AA"/>
    <w:rsid w:val="009A276F"/>
    <w:rsid w:val="009A3253"/>
    <w:rsid w:val="009A376E"/>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7F6"/>
    <w:rsid w:val="00A10E84"/>
    <w:rsid w:val="00A11D17"/>
    <w:rsid w:val="00A122A2"/>
    <w:rsid w:val="00A12CAB"/>
    <w:rsid w:val="00A13BAC"/>
    <w:rsid w:val="00A14BEF"/>
    <w:rsid w:val="00A14D12"/>
    <w:rsid w:val="00A14EA3"/>
    <w:rsid w:val="00A15BED"/>
    <w:rsid w:val="00A1727A"/>
    <w:rsid w:val="00A17540"/>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459"/>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10F1"/>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9FD"/>
    <w:rsid w:val="00B64BA2"/>
    <w:rsid w:val="00B65512"/>
    <w:rsid w:val="00B66768"/>
    <w:rsid w:val="00B67536"/>
    <w:rsid w:val="00B67B71"/>
    <w:rsid w:val="00B67C83"/>
    <w:rsid w:val="00B67D7D"/>
    <w:rsid w:val="00B708B5"/>
    <w:rsid w:val="00B70ADA"/>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E06D0"/>
    <w:rsid w:val="00BE0AE7"/>
    <w:rsid w:val="00BE112B"/>
    <w:rsid w:val="00BE16BE"/>
    <w:rsid w:val="00BE1FFF"/>
    <w:rsid w:val="00BE4121"/>
    <w:rsid w:val="00BE4251"/>
    <w:rsid w:val="00BE45AE"/>
    <w:rsid w:val="00BE45B3"/>
    <w:rsid w:val="00BE469A"/>
    <w:rsid w:val="00BE52EF"/>
    <w:rsid w:val="00BE5AF1"/>
    <w:rsid w:val="00BE7515"/>
    <w:rsid w:val="00BE774A"/>
    <w:rsid w:val="00BE7ADC"/>
    <w:rsid w:val="00BF0515"/>
    <w:rsid w:val="00BF0711"/>
    <w:rsid w:val="00BF09DD"/>
    <w:rsid w:val="00BF1549"/>
    <w:rsid w:val="00BF1622"/>
    <w:rsid w:val="00BF361C"/>
    <w:rsid w:val="00BF38AB"/>
    <w:rsid w:val="00BF39CC"/>
    <w:rsid w:val="00BF440D"/>
    <w:rsid w:val="00BF4DF5"/>
    <w:rsid w:val="00BF57F3"/>
    <w:rsid w:val="00BF5D75"/>
    <w:rsid w:val="00BF5EBB"/>
    <w:rsid w:val="00BF7C11"/>
    <w:rsid w:val="00C00035"/>
    <w:rsid w:val="00C00FA6"/>
    <w:rsid w:val="00C011C4"/>
    <w:rsid w:val="00C01505"/>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49B0"/>
    <w:rsid w:val="00CD5C7D"/>
    <w:rsid w:val="00CD698E"/>
    <w:rsid w:val="00CE0A85"/>
    <w:rsid w:val="00CE1530"/>
    <w:rsid w:val="00CE1D02"/>
    <w:rsid w:val="00CE30D1"/>
    <w:rsid w:val="00CE32DA"/>
    <w:rsid w:val="00CE3BA1"/>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6A7"/>
    <w:rsid w:val="00D3396A"/>
    <w:rsid w:val="00D33F4F"/>
    <w:rsid w:val="00D352CA"/>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5F6"/>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43D7"/>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7315"/>
    <w:rsid w:val="00E979C3"/>
    <w:rsid w:val="00EA0FAA"/>
    <w:rsid w:val="00EA1204"/>
    <w:rsid w:val="00EA1943"/>
    <w:rsid w:val="00EA1FCE"/>
    <w:rsid w:val="00EA38FF"/>
    <w:rsid w:val="00EA49B0"/>
    <w:rsid w:val="00EA5269"/>
    <w:rsid w:val="00EA560D"/>
    <w:rsid w:val="00EA64D6"/>
    <w:rsid w:val="00EA6A07"/>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4B0B"/>
    <w:rsid w:val="00F0561F"/>
    <w:rsid w:val="00F05D21"/>
    <w:rsid w:val="00F05ED5"/>
    <w:rsid w:val="00F063FF"/>
    <w:rsid w:val="00F06517"/>
    <w:rsid w:val="00F06F97"/>
    <w:rsid w:val="00F071C5"/>
    <w:rsid w:val="00F07855"/>
    <w:rsid w:val="00F07E77"/>
    <w:rsid w:val="00F102FA"/>
    <w:rsid w:val="00F10CD1"/>
    <w:rsid w:val="00F12433"/>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3077"/>
    <w:rsid w:val="00F33A0B"/>
    <w:rsid w:val="00F36658"/>
    <w:rsid w:val="00F369CB"/>
    <w:rsid w:val="00F36A24"/>
    <w:rsid w:val="00F36B72"/>
    <w:rsid w:val="00F378E8"/>
    <w:rsid w:val="00F37FCB"/>
    <w:rsid w:val="00F40B95"/>
    <w:rsid w:val="00F413E2"/>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3CB6"/>
    <w:rsid w:val="00FA65B4"/>
    <w:rsid w:val="00FA6B38"/>
    <w:rsid w:val="00FB07B6"/>
    <w:rsid w:val="00FB174D"/>
    <w:rsid w:val="00FB297F"/>
    <w:rsid w:val="00FB2AEE"/>
    <w:rsid w:val="00FB370E"/>
    <w:rsid w:val="00FB3B6E"/>
    <w:rsid w:val="00FB4757"/>
    <w:rsid w:val="00FB4E39"/>
    <w:rsid w:val="00FB5265"/>
    <w:rsid w:val="00FB5D2D"/>
    <w:rsid w:val="00FB6A08"/>
    <w:rsid w:val="00FC0068"/>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9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597D98"/>
    <w:rPr>
      <w:rFonts w:ascii="黑体" w:eastAsia="黑体" w:hAnsi="Courier New" w:cs="Courier New"/>
      <w:snapToGrid w:val="0"/>
      <w:kern w:val="2"/>
      <w:sz w:val="32"/>
      <w:szCs w:val="32"/>
      <w:lang w:val="en-US" w:eastAsia="zh-CN" w:bidi="ar-SA"/>
    </w:rPr>
  </w:style>
  <w:style w:type="character" w:customStyle="1" w:styleId="ca-41">
    <w:name w:val="ca-41"/>
    <w:uiPriority w:val="99"/>
    <w:rsid w:val="00597D98"/>
    <w:rPr>
      <w:rFonts w:ascii="??_GB2312" w:eastAsia="Times New Roman"/>
      <w:color w:val="000000"/>
      <w:sz w:val="32"/>
    </w:rPr>
  </w:style>
  <w:style w:type="character" w:customStyle="1" w:styleId="ca-01">
    <w:name w:val="ca-01"/>
    <w:uiPriority w:val="99"/>
    <w:rsid w:val="00597D98"/>
    <w:rPr>
      <w:rFonts w:ascii="Times New Roman"/>
      <w:b/>
      <w:color w:val="000000"/>
      <w:spacing w:val="-20"/>
      <w:sz w:val="44"/>
    </w:rPr>
  </w:style>
  <w:style w:type="character" w:customStyle="1" w:styleId="PlainTextChar2">
    <w:name w:val="Plain Text Char2"/>
    <w:basedOn w:val="DefaultParagraphFont"/>
    <w:link w:val="PlainText"/>
    <w:uiPriority w:val="99"/>
    <w:locked/>
    <w:rsid w:val="00597D98"/>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597D98"/>
    <w:rPr>
      <w:rFonts w:ascii="黑体" w:eastAsia="黑体" w:cs="Times New Roman"/>
      <w:sz w:val="24"/>
      <w:szCs w:val="24"/>
      <w:lang w:val="en-US" w:eastAsia="zh-CN" w:bidi="ar-SA"/>
    </w:rPr>
  </w:style>
  <w:style w:type="character" w:customStyle="1" w:styleId="1Char">
    <w:name w:val="样式1 Char"/>
    <w:basedOn w:val="DefaultParagraphFont"/>
    <w:uiPriority w:val="99"/>
    <w:rsid w:val="00597D98"/>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597D98"/>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597D98"/>
    <w:rPr>
      <w:rFonts w:ascii="楷体_GB2312" w:eastAsia="楷体_GB2312"/>
      <w:snapToGrid w:val="0"/>
      <w:sz w:val="32"/>
      <w:szCs w:val="32"/>
    </w:rPr>
  </w:style>
  <w:style w:type="character" w:styleId="Strong">
    <w:name w:val="Strong"/>
    <w:basedOn w:val="DefaultParagraphFont"/>
    <w:uiPriority w:val="99"/>
    <w:qFormat/>
    <w:rsid w:val="00597D98"/>
    <w:rPr>
      <w:rFonts w:eastAsia="仿宋_GB2312" w:cs="Times New Roman"/>
      <w:sz w:val="32"/>
      <w:szCs w:val="32"/>
    </w:rPr>
  </w:style>
  <w:style w:type="character" w:customStyle="1" w:styleId="PlainTextChar">
    <w:name w:val="Plain Text Char"/>
    <w:link w:val="PlainText"/>
    <w:uiPriority w:val="99"/>
    <w:locked/>
    <w:rsid w:val="00597D98"/>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597D98"/>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597D98"/>
    <w:rPr>
      <w:rFonts w:cs="Times New Roman"/>
    </w:rPr>
  </w:style>
  <w:style w:type="character" w:customStyle="1" w:styleId="BodyTextChar1">
    <w:name w:val="Body Text Char1"/>
    <w:link w:val="BodyText"/>
    <w:uiPriority w:val="99"/>
    <w:locked/>
    <w:rsid w:val="00597D98"/>
    <w:rPr>
      <w:rFonts w:eastAsia="华文中宋" w:cs="Times New Roman"/>
      <w:kern w:val="2"/>
      <w:sz w:val="24"/>
      <w:szCs w:val="24"/>
      <w:lang w:val="en-US" w:eastAsia="zh-CN" w:bidi="ar-SA"/>
    </w:rPr>
  </w:style>
  <w:style w:type="character" w:customStyle="1" w:styleId="ca-11">
    <w:name w:val="ca-11"/>
    <w:uiPriority w:val="99"/>
    <w:rsid w:val="00597D98"/>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97D98"/>
    <w:pPr>
      <w:widowControl w:val="0"/>
      <w:jc w:val="both"/>
    </w:pPr>
    <w:rPr>
      <w:szCs w:val="24"/>
    </w:rPr>
  </w:style>
  <w:style w:type="paragraph" w:styleId="BodyText2">
    <w:name w:val="Body Text 2"/>
    <w:basedOn w:val="Normal"/>
    <w:link w:val="BodyText2Char"/>
    <w:uiPriority w:val="99"/>
    <w:rsid w:val="00597D98"/>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597D98"/>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597D98"/>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597D98"/>
  </w:style>
  <w:style w:type="paragraph" w:customStyle="1" w:styleId="p16">
    <w:name w:val="p16"/>
    <w:basedOn w:val="Normal"/>
    <w:uiPriority w:val="99"/>
    <w:rsid w:val="00597D98"/>
    <w:pPr>
      <w:widowControl/>
    </w:pPr>
    <w:rPr>
      <w:kern w:val="0"/>
      <w:szCs w:val="21"/>
    </w:rPr>
  </w:style>
  <w:style w:type="paragraph" w:styleId="BodyText">
    <w:name w:val="Body Text"/>
    <w:basedOn w:val="Normal"/>
    <w:link w:val="BodyTextChar"/>
    <w:uiPriority w:val="99"/>
    <w:rsid w:val="00597D98"/>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597D98"/>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597D9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597D98"/>
    <w:pPr>
      <w:ind w:left="200" w:hangingChars="200" w:hanging="200"/>
    </w:pPr>
  </w:style>
  <w:style w:type="paragraph" w:customStyle="1" w:styleId="1">
    <w:name w:val="样式1"/>
    <w:basedOn w:val="PlainText"/>
    <w:link w:val="1CharChar"/>
    <w:uiPriority w:val="99"/>
    <w:rsid w:val="00597D98"/>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597D9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597D9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597D98"/>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597D98"/>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97D98"/>
  </w:style>
  <w:style w:type="paragraph" w:customStyle="1" w:styleId="content-parag">
    <w:name w:val="content-parag"/>
    <w:basedOn w:val="Normal"/>
    <w:uiPriority w:val="99"/>
    <w:rsid w:val="00597D98"/>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597D98"/>
    <w:rPr>
      <w:rFonts w:ascii="宋体" w:hAnsi="Courier New"/>
      <w:szCs w:val="20"/>
    </w:rPr>
  </w:style>
  <w:style w:type="paragraph" w:customStyle="1" w:styleId="5">
    <w:name w:val="样式5"/>
    <w:basedOn w:val="1"/>
    <w:uiPriority w:val="99"/>
    <w:rsid w:val="00597D98"/>
    <w:pPr>
      <w:ind w:firstLineChars="0" w:firstLine="0"/>
      <w:jc w:val="center"/>
    </w:pPr>
  </w:style>
  <w:style w:type="paragraph" w:customStyle="1" w:styleId="a">
    <w:name w:val="列出段落"/>
    <w:basedOn w:val="Normal"/>
    <w:uiPriority w:val="99"/>
    <w:rsid w:val="00597D98"/>
    <w:pPr>
      <w:ind w:firstLineChars="200" w:firstLine="420"/>
    </w:pPr>
  </w:style>
  <w:style w:type="paragraph" w:customStyle="1" w:styleId="NewNewNewNewNewNewNew">
    <w:name w:val="正文 New New New New New New New"/>
    <w:uiPriority w:val="99"/>
    <w:rsid w:val="00597D98"/>
    <w:pPr>
      <w:widowControl w:val="0"/>
      <w:jc w:val="both"/>
    </w:pPr>
    <w:rPr>
      <w:szCs w:val="24"/>
    </w:rPr>
  </w:style>
  <w:style w:type="paragraph" w:customStyle="1" w:styleId="New0">
    <w:name w:val="正文 New"/>
    <w:uiPriority w:val="99"/>
    <w:rsid w:val="00597D98"/>
    <w:pPr>
      <w:widowControl w:val="0"/>
      <w:jc w:val="both"/>
    </w:pPr>
  </w:style>
  <w:style w:type="paragraph" w:customStyle="1" w:styleId="CharCharCharCharCharCharChar">
    <w:name w:val="Char Char Char Char Char Char Char"/>
    <w:basedOn w:val="Normal"/>
    <w:uiPriority w:val="99"/>
    <w:semiHidden/>
    <w:rsid w:val="00597D98"/>
  </w:style>
  <w:style w:type="paragraph" w:customStyle="1" w:styleId="Char1">
    <w:name w:val="Char1"/>
    <w:basedOn w:val="Normal"/>
    <w:uiPriority w:val="99"/>
    <w:semiHidden/>
    <w:rsid w:val="00597D98"/>
  </w:style>
  <w:style w:type="paragraph" w:customStyle="1" w:styleId="CharCharCharChar">
    <w:name w:val="Char Char Char Char"/>
    <w:basedOn w:val="Normal"/>
    <w:uiPriority w:val="99"/>
    <w:semiHidden/>
    <w:rsid w:val="00597D98"/>
  </w:style>
  <w:style w:type="paragraph" w:customStyle="1" w:styleId="reader-word-layerreader-word-s1-2">
    <w:name w:val="reader-word-layer reader-word-s1-2"/>
    <w:basedOn w:val="Normal"/>
    <w:uiPriority w:val="99"/>
    <w:rsid w:val="00597D98"/>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597D98"/>
    <w:pPr>
      <w:widowControl w:val="0"/>
      <w:jc w:val="both"/>
    </w:pPr>
    <w:rPr>
      <w:szCs w:val="24"/>
    </w:rPr>
  </w:style>
  <w:style w:type="paragraph" w:customStyle="1" w:styleId="CharCharChar">
    <w:name w:val="Char Char Char"/>
    <w:basedOn w:val="Normal"/>
    <w:uiPriority w:val="99"/>
    <w:rsid w:val="00597D98"/>
    <w:rPr>
      <w:rFonts w:eastAsia="仿宋_GB2312"/>
      <w:sz w:val="32"/>
      <w:szCs w:val="20"/>
    </w:rPr>
  </w:style>
  <w:style w:type="paragraph" w:customStyle="1" w:styleId="4">
    <w:name w:val="样式4"/>
    <w:basedOn w:val="PlainText"/>
    <w:uiPriority w:val="99"/>
    <w:rsid w:val="00597D98"/>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597D9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s>
</file>

<file path=word/webSettings.xml><?xml version="1.0" encoding="utf-8"?>
<w:webSettings xmlns:r="http://schemas.openxmlformats.org/officeDocument/2006/relationships" xmlns:w="http://schemas.openxmlformats.org/wordprocessingml/2006/main">
  <w:divs>
    <w:div w:id="1961372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11</Pages>
  <Words>759</Words>
  <Characters>4330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rdt</cp:lastModifiedBy>
  <cp:revision>3</cp:revision>
  <cp:lastPrinted>2018-06-15T00:53:00Z</cp:lastPrinted>
  <dcterms:created xsi:type="dcterms:W3CDTF">2018-06-22T08:05:00Z</dcterms:created>
  <dcterms:modified xsi:type="dcterms:W3CDTF">2018-06-22T08:09:00Z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