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cs="仿宋_GB2312"/>
        </w:rPr>
      </w:pPr>
      <w:r>
        <w:rPr>
          <w:rFonts w:hint="eastAsia" w:ascii="仿宋_GB2312" w:hAnsi="仿宋_GB2312" w:cs="仿宋_GB2312"/>
        </w:rPr>
        <w:t>《最高人民检察院关于地质工程勘测院和其他履行勘测职责的单位及其工作人员能否成为刑法第二百二十九条规定的有关犯罪主体的批复》已于2015年8月19日由最高人民检察院第十二届检察委员会第三十九次会议通过，现予公布，自2015年11月12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rPr>
      </w:pPr>
      <w:r>
        <w:rPr>
          <w:rFonts w:hint="eastAsia" w:ascii="仿宋_GB2312" w:hAnsi="仿宋_GB2312" w:cs="仿宋_GB2312"/>
        </w:rPr>
        <w:t>2015年10月27日</w:t>
      </w:r>
      <w:r>
        <w:rPr>
          <w:rFonts w:hint="eastAsia" w:ascii="仿宋_GB2312" w:hAnsi="仿宋_GB2312" w:cs="仿宋_GB231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最高人民检察院关于地质工程勘测院和其他</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履行勘测职责的单位及其工作人员能否</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成为</w:t>
      </w:r>
      <w:r>
        <w:rPr>
          <w:rFonts w:hint="eastAsia" w:ascii="宋体" w:hAnsi="宋体" w:eastAsia="宋体" w:cs="宋体"/>
          <w:sz w:val="44"/>
          <w:szCs w:val="44"/>
        </w:rPr>
        <w:fldChar w:fldCharType="begin"/>
      </w:r>
      <w:r>
        <w:rPr>
          <w:rFonts w:hint="eastAsia" w:ascii="宋体" w:hAnsi="宋体" w:eastAsia="宋体" w:cs="宋体"/>
          <w:sz w:val="44"/>
          <w:szCs w:val="44"/>
        </w:rPr>
        <w:instrText xml:space="preserve">HYPERLINK "javascript:SLC(17010,0)"</w:instrText>
      </w:r>
      <w:r>
        <w:rPr>
          <w:rFonts w:hint="eastAsia" w:ascii="宋体" w:hAnsi="宋体" w:eastAsia="宋体" w:cs="宋体"/>
          <w:sz w:val="44"/>
          <w:szCs w:val="44"/>
        </w:rPr>
        <w:fldChar w:fldCharType="separate"/>
      </w:r>
      <w:r>
        <w:rPr>
          <w:rFonts w:hint="eastAsia" w:ascii="宋体" w:hAnsi="宋体" w:eastAsia="宋体" w:cs="宋体"/>
          <w:sz w:val="44"/>
          <w:szCs w:val="44"/>
        </w:rPr>
        <w:t>刑法</w:t>
      </w:r>
      <w:r>
        <w:rPr>
          <w:rFonts w:hint="eastAsia" w:ascii="宋体" w:hAnsi="宋体" w:eastAsia="宋体" w:cs="宋体"/>
          <w:sz w:val="44"/>
          <w:szCs w:val="44"/>
        </w:rPr>
        <w:fldChar w:fldCharType="end"/>
      </w:r>
      <w:r>
        <w:rPr>
          <w:rFonts w:hint="eastAsia" w:ascii="宋体" w:hAnsi="宋体" w:eastAsia="宋体" w:cs="宋体"/>
          <w:sz w:val="44"/>
          <w:szCs w:val="44"/>
        </w:rPr>
        <w:t>第</w:t>
      </w:r>
      <w:r>
        <w:rPr>
          <w:rFonts w:hint="eastAsia" w:ascii="宋体" w:hAnsi="宋体" w:eastAsia="宋体" w:cs="宋体"/>
          <w:sz w:val="44"/>
          <w:szCs w:val="44"/>
        </w:rPr>
        <w:fldChar w:fldCharType="begin"/>
      </w:r>
      <w:r>
        <w:rPr>
          <w:rFonts w:hint="eastAsia" w:ascii="宋体" w:hAnsi="宋体" w:eastAsia="宋体" w:cs="宋体"/>
          <w:sz w:val="44"/>
          <w:szCs w:val="44"/>
        </w:rPr>
        <w:instrText xml:space="preserve">HYPERLINK "javascript:SLC(17010,229)"</w:instrText>
      </w:r>
      <w:r>
        <w:rPr>
          <w:rFonts w:hint="eastAsia" w:ascii="宋体" w:hAnsi="宋体" w:eastAsia="宋体" w:cs="宋体"/>
          <w:sz w:val="44"/>
          <w:szCs w:val="44"/>
        </w:rPr>
        <w:fldChar w:fldCharType="separate"/>
      </w:r>
      <w:r>
        <w:rPr>
          <w:rFonts w:hint="eastAsia" w:ascii="宋体" w:hAnsi="宋体" w:eastAsia="宋体" w:cs="宋体"/>
          <w:sz w:val="44"/>
          <w:szCs w:val="44"/>
        </w:rPr>
        <w:t>二百二十九条</w:t>
      </w:r>
      <w:r>
        <w:rPr>
          <w:rFonts w:hint="eastAsia" w:ascii="宋体" w:hAnsi="宋体" w:eastAsia="宋体" w:cs="宋体"/>
          <w:sz w:val="44"/>
          <w:szCs w:val="44"/>
        </w:rPr>
        <w:fldChar w:fldCharType="end"/>
      </w:r>
      <w:r>
        <w:rPr>
          <w:rFonts w:hint="eastAsia" w:ascii="宋体" w:hAnsi="宋体" w:eastAsia="宋体" w:cs="宋体"/>
          <w:sz w:val="44"/>
          <w:szCs w:val="44"/>
        </w:rPr>
        <w:t>规定的</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有关犯罪主体的批复</w:t>
      </w:r>
    </w:p>
    <w:p>
      <w:pPr>
        <w:spacing w:line="600" w:lineRule="exact"/>
        <w:jc w:val="center"/>
        <w:rPr>
          <w:rFonts w:hint="eastAsia" w:ascii="宋体" w:hAnsi="宋体" w:eastAsia="宋体" w:cs="宋体"/>
          <w:sz w:val="32"/>
          <w:szCs w:val="32"/>
        </w:rPr>
      </w:pPr>
    </w:p>
    <w:p>
      <w:pPr>
        <w:jc w:val="center"/>
        <w:rPr>
          <w:rFonts w:hint="eastAsia" w:ascii="楷体_GB2312" w:hAnsi="楷体_GB2312" w:eastAsia="楷体_GB2312" w:cs="楷体_GB2312"/>
        </w:rPr>
      </w:pPr>
      <w:r>
        <w:rPr>
          <w:rFonts w:hint="eastAsia" w:ascii="楷体_GB2312" w:hAnsi="楷体_GB2312" w:eastAsia="楷体_GB2312" w:cs="楷体_GB2312"/>
        </w:rPr>
        <w:t>（2015年8月19日最高人民检察院第十二届检察委员会</w:t>
      </w:r>
    </w:p>
    <w:p>
      <w:pPr>
        <w:jc w:val="center"/>
        <w:rPr>
          <w:rFonts w:hint="eastAsia" w:ascii="楷体_GB2312" w:hAnsi="楷体_GB2312" w:eastAsia="楷体_GB2312" w:cs="楷体_GB2312"/>
        </w:rPr>
      </w:pPr>
      <w:r>
        <w:rPr>
          <w:rFonts w:hint="eastAsia" w:ascii="楷体_GB2312" w:hAnsi="楷体_GB2312" w:eastAsia="楷体_GB2312" w:cs="楷体_GB2312"/>
        </w:rPr>
        <w:t>第三十九次会议通过）</w:t>
      </w:r>
    </w:p>
    <w:p>
      <w:pPr>
        <w:rPr>
          <w:rFonts w:hint="eastAsia"/>
        </w:rPr>
      </w:pPr>
    </w:p>
    <w:p>
      <w:pPr>
        <w:jc w:val="center"/>
        <w:rPr>
          <w:rFonts w:hint="eastAsia" w:ascii="仿宋_GB2312" w:hAnsi="仿宋_GB2312" w:eastAsia="仿宋_GB2312" w:cs="仿宋_GB2312"/>
        </w:rPr>
      </w:pPr>
      <w:r>
        <w:rPr>
          <w:rFonts w:hint="eastAsia" w:ascii="仿宋_GB2312" w:hAnsi="仿宋_GB2312" w:eastAsia="仿宋_GB2312" w:cs="仿宋_GB2312"/>
        </w:rPr>
        <w:t>高检发释字〔2015〕4号</w:t>
      </w:r>
    </w:p>
    <w:p>
      <w:pPr>
        <w:rPr>
          <w:rFonts w:hint="eastAsia"/>
        </w:rPr>
      </w:pPr>
    </w:p>
    <w:p>
      <w:pPr>
        <w:rPr>
          <w:rFonts w:hint="eastAsia" w:ascii="方正小标宋简体" w:hAnsi="方正小标宋简体" w:eastAsia="方正小标宋简体" w:cs="Times New Roman"/>
          <w:spacing w:val="-20"/>
          <w:sz w:val="44"/>
        </w:rPr>
      </w:pPr>
      <w:r>
        <w:rPr>
          <w:rFonts w:hint="eastAsia" w:cs="Times New Roman"/>
        </w:rPr>
        <w:t>重庆市人民检察院：</w:t>
      </w:r>
    </w:p>
    <w:p>
      <w:pPr>
        <w:ind w:firstLine="632" w:firstLineChars="200"/>
        <w:rPr>
          <w:rFonts w:cs="Times New Roman"/>
        </w:rPr>
      </w:pPr>
      <w:r>
        <w:rPr>
          <w:rFonts w:hint="eastAsia" w:ascii="仿宋_GB2312" w:hAnsi="仿宋_GB2312" w:cs="仿宋_GB2312"/>
        </w:rPr>
        <w:t>你院渝检（研）〔2015〕8号《关于地质工程勘测院能否成为刑法第二百二十九条的有关犯罪主体的请示》收悉。经研究，批</w:t>
      </w:r>
      <w:r>
        <w:rPr>
          <w:rFonts w:cs="Times New Roman"/>
        </w:rPr>
        <w:t>复如下：</w:t>
      </w:r>
    </w:p>
    <w:p>
      <w:pPr>
        <w:ind w:firstLine="632" w:firstLineChars="200"/>
        <w:rPr>
          <w:rFonts w:hint="eastAsia" w:cs="Times New Roman"/>
        </w:rPr>
      </w:pPr>
      <w:r>
        <w:rPr>
          <w:rFonts w:hint="eastAsia" w:cs="Times New Roman"/>
        </w:rPr>
        <w:t>地质工程勘测院和其他履行勘测职责的单位及其工作人员</w:t>
      </w:r>
      <w:r>
        <w:rPr>
          <w:rFonts w:cs="Times New Roman"/>
        </w:rPr>
        <w:t>在履行</w:t>
      </w:r>
      <w:r>
        <w:rPr>
          <w:rFonts w:hint="eastAsia" w:cs="Times New Roman"/>
        </w:rPr>
        <w:t>勘察、勘查、测绘</w:t>
      </w:r>
      <w:r>
        <w:rPr>
          <w:rFonts w:cs="Times New Roman"/>
        </w:rPr>
        <w:t>职责过程中，故意提供虚假工程地质勘察报告</w:t>
      </w:r>
      <w:r>
        <w:rPr>
          <w:rFonts w:hint="eastAsia" w:cs="Times New Roman"/>
        </w:rPr>
        <w:t>等</w:t>
      </w:r>
      <w:r>
        <w:rPr>
          <w:rFonts w:cs="Times New Roman"/>
        </w:rPr>
        <w:t>证明文件，情节严重的，依照</w:t>
      </w:r>
      <w:r>
        <w:rPr>
          <w:rFonts w:cs="Times New Roman"/>
        </w:rPr>
        <w:fldChar w:fldCharType="begin"/>
      </w:r>
      <w:r>
        <w:rPr>
          <w:rFonts w:cs="Times New Roman"/>
        </w:rPr>
        <w:instrText xml:space="preserve">HYPERLINK "javascript:SLC(17010,0)"</w:instrText>
      </w:r>
      <w:r>
        <w:rPr>
          <w:rFonts w:cs="Times New Roman"/>
        </w:rPr>
        <w:fldChar w:fldCharType="separate"/>
      </w:r>
      <w:r>
        <w:rPr>
          <w:rFonts w:cs="Times New Roman"/>
        </w:rPr>
        <w:t>刑法</w:t>
      </w:r>
      <w:r>
        <w:rPr>
          <w:rFonts w:cs="Times New Roman"/>
        </w:rPr>
        <w:fldChar w:fldCharType="end"/>
      </w:r>
      <w:r>
        <w:rPr>
          <w:rFonts w:cs="Times New Roman"/>
        </w:rPr>
        <w:t>第</w:t>
      </w:r>
      <w:r>
        <w:rPr>
          <w:rFonts w:cs="Times New Roman"/>
        </w:rPr>
        <w:fldChar w:fldCharType="begin"/>
      </w:r>
      <w:r>
        <w:rPr>
          <w:rFonts w:cs="Times New Roman"/>
        </w:rPr>
        <w:instrText xml:space="preserve">HYPERLINK "javascript:SLC(17010,229)"</w:instrText>
      </w:r>
      <w:r>
        <w:rPr>
          <w:rFonts w:cs="Times New Roman"/>
        </w:rPr>
        <w:fldChar w:fldCharType="separate"/>
      </w:r>
      <w:r>
        <w:rPr>
          <w:rFonts w:cs="Times New Roman"/>
        </w:rPr>
        <w:t>二百二十九条</w:t>
      </w:r>
      <w:r>
        <w:rPr>
          <w:rFonts w:cs="Times New Roman"/>
        </w:rPr>
        <w:fldChar w:fldCharType="end"/>
      </w:r>
      <w:r>
        <w:rPr>
          <w:rFonts w:cs="Times New Roman"/>
        </w:rPr>
        <w:t>第</w:t>
      </w:r>
      <w:r>
        <w:rPr>
          <w:rFonts w:hint="eastAsia" w:cs="Times New Roman"/>
        </w:rPr>
        <w:t>一</w:t>
      </w:r>
      <w:r>
        <w:rPr>
          <w:rFonts w:cs="Times New Roman"/>
        </w:rPr>
        <w:t>款</w:t>
      </w:r>
      <w:r>
        <w:rPr>
          <w:rFonts w:hint="eastAsia" w:cs="Times New Roman"/>
        </w:rPr>
        <w:t>和</w:t>
      </w:r>
      <w:r>
        <w:rPr>
          <w:rFonts w:cs="Times New Roman"/>
        </w:rPr>
        <w:t>第二百三十一条的规定，以提供虚假证明文件罪追究刑事责任</w:t>
      </w:r>
      <w:r>
        <w:rPr>
          <w:rFonts w:hint="eastAsia" w:cs="Times New Roman"/>
        </w:rPr>
        <w:t>；地质工程勘测院和其他履行勘测职责的单位及其工作人员</w:t>
      </w:r>
      <w:r>
        <w:rPr>
          <w:rFonts w:cs="Times New Roman"/>
        </w:rPr>
        <w:t>在履行</w:t>
      </w:r>
      <w:r>
        <w:rPr>
          <w:rFonts w:hint="eastAsia" w:cs="Times New Roman"/>
        </w:rPr>
        <w:t>勘察、勘查、测绘</w:t>
      </w:r>
      <w:r>
        <w:rPr>
          <w:rFonts w:cs="Times New Roman"/>
        </w:rPr>
        <w:t>职责过程中，严重不负责任，出具的工程地质勘察报告</w:t>
      </w:r>
      <w:r>
        <w:rPr>
          <w:rFonts w:hint="eastAsia" w:cs="Times New Roman"/>
        </w:rPr>
        <w:t>等证明文件</w:t>
      </w:r>
      <w:r>
        <w:rPr>
          <w:rFonts w:cs="Times New Roman"/>
        </w:rPr>
        <w:t>有重大失实，造成严重后果的，依照</w:t>
      </w:r>
      <w:r>
        <w:rPr>
          <w:rFonts w:cs="Times New Roman"/>
        </w:rPr>
        <w:fldChar w:fldCharType="begin"/>
      </w:r>
      <w:r>
        <w:rPr>
          <w:rFonts w:cs="Times New Roman"/>
        </w:rPr>
        <w:instrText xml:space="preserve">HYPERLINK "javascript:SLC(17010,0)"</w:instrText>
      </w:r>
      <w:r>
        <w:rPr>
          <w:rFonts w:cs="Times New Roman"/>
        </w:rPr>
        <w:fldChar w:fldCharType="separate"/>
      </w:r>
      <w:r>
        <w:rPr>
          <w:rFonts w:cs="Times New Roman"/>
        </w:rPr>
        <w:t>刑法</w:t>
      </w:r>
      <w:r>
        <w:rPr>
          <w:rFonts w:cs="Times New Roman"/>
        </w:rPr>
        <w:fldChar w:fldCharType="end"/>
      </w:r>
      <w:r>
        <w:rPr>
          <w:rFonts w:cs="Times New Roman"/>
        </w:rPr>
        <w:t>第</w:t>
      </w:r>
      <w:r>
        <w:rPr>
          <w:rFonts w:cs="Times New Roman"/>
        </w:rPr>
        <w:fldChar w:fldCharType="begin"/>
      </w:r>
      <w:r>
        <w:rPr>
          <w:rFonts w:cs="Times New Roman"/>
        </w:rPr>
        <w:instrText xml:space="preserve">HYPERLINK "javascript:SLC(17010,229)"</w:instrText>
      </w:r>
      <w:r>
        <w:rPr>
          <w:rFonts w:cs="Times New Roman"/>
        </w:rPr>
        <w:fldChar w:fldCharType="separate"/>
      </w:r>
      <w:r>
        <w:rPr>
          <w:rFonts w:cs="Times New Roman"/>
        </w:rPr>
        <w:t>二百二十九条</w:t>
      </w:r>
      <w:r>
        <w:rPr>
          <w:rFonts w:cs="Times New Roman"/>
        </w:rPr>
        <w:fldChar w:fldCharType="end"/>
      </w:r>
      <w:r>
        <w:rPr>
          <w:rFonts w:cs="Times New Roman"/>
        </w:rPr>
        <w:t>第三款</w:t>
      </w:r>
      <w:r>
        <w:rPr>
          <w:rFonts w:hint="eastAsia" w:cs="Times New Roman"/>
        </w:rPr>
        <w:t>和</w:t>
      </w:r>
      <w:r>
        <w:rPr>
          <w:rFonts w:cs="Times New Roman"/>
        </w:rPr>
        <w:t>第二百三十一条的规定，以出具证明文件重大失实罪追究刑事责任。</w:t>
      </w:r>
    </w:p>
    <w:p>
      <w:pPr>
        <w:ind w:firstLine="632" w:firstLineChars="200"/>
        <w:jc w:val="left"/>
        <w:rPr>
          <w:rFonts w:hint="eastAsia" w:cs="Times New Roman"/>
        </w:rPr>
      </w:pPr>
      <w:r>
        <w:rPr>
          <w:rFonts w:hint="eastAsia" w:cs="Times New Roman"/>
        </w:rPr>
        <w:t>此复</w:t>
      </w:r>
    </w:p>
    <w:p>
      <w:pPr>
        <w:ind w:firstLine="632" w:firstLineChars="200"/>
        <w:jc w:val="left"/>
        <w:rPr>
          <w:rFonts w:hint="eastAsia" w:cs="Times New Roman"/>
        </w:rPr>
      </w:pPr>
    </w:p>
    <w:p>
      <w:pPr>
        <w:ind w:firstLine="632" w:firstLineChars="200"/>
        <w:jc w:val="left"/>
        <w:rPr>
          <w:rFonts w:hint="eastAsia" w:cs="Times New Roman"/>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ind w:firstLine="632" w:firstLineChars="200"/>
        <w:jc w:val="right"/>
        <w:rPr>
          <w:rFonts w:hint="eastAsia" w:cs="Times New Roman"/>
        </w:rPr>
      </w:pPr>
      <w:r>
        <w:rPr>
          <w:rFonts w:hint="eastAsia" w:ascii="仿宋_GB2312" w:hAnsi="仿宋_GB2312" w:cs="仿宋_GB2312"/>
        </w:rPr>
        <w:t>2015年10月27日</w:t>
      </w:r>
      <w:r>
        <w:rPr>
          <w:rFonts w:hint="eastAsia" w:ascii="仿宋_GB2312" w:hAnsi="仿宋_GB2312" w:cs="仿宋_GB2312"/>
          <w:lang w:val="en-US" w:eastAsia="zh-CN"/>
        </w:rPr>
        <w:t xml:space="preserve">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5907C7"/>
    <w:rsid w:val="12D3399D"/>
    <w:rsid w:val="29231F82"/>
    <w:rsid w:val="42BC7EC0"/>
    <w:rsid w:val="55960139"/>
    <w:rsid w:val="60840604"/>
    <w:rsid w:val="6D2054A9"/>
    <w:rsid w:val="70751889"/>
    <w:rsid w:val="71254F6B"/>
    <w:rsid w:val="BEFF44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Char Char Char Char Char Char Char"/>
    <w:basedOn w:val="1"/>
    <w:qFormat/>
    <w:uiPriority w:val="0"/>
    <w:pPr>
      <w:ind w:firstLine="200" w:firstLineChars="200"/>
    </w:pPr>
  </w:style>
  <w:style w:type="paragraph" w:customStyle="1" w:styleId="14">
    <w:name w:val="p0"/>
    <w:basedOn w:val="1"/>
    <w:qFormat/>
    <w:uiPriority w:val="0"/>
    <w:pPr>
      <w:widowControl/>
    </w:pPr>
    <w:rPr>
      <w:kern w:val="0"/>
      <w:szCs w:val="21"/>
    </w:rPr>
  </w:style>
  <w:style w:type="paragraph" w:customStyle="1" w:styleId="15">
    <w:name w:val=" Char1 Char Char Char"/>
    <w:basedOn w:val="1"/>
    <w:qFormat/>
    <w:uiPriority w:val="0"/>
  </w:style>
  <w:style w:type="paragraph" w:customStyle="1" w:styleId="16">
    <w:name w:val="Char1"/>
    <w:basedOn w:val="1"/>
    <w:qFormat/>
    <w:uiPriority w:val="0"/>
    <w:pPr>
      <w:tabs>
        <w:tab w:val="left" w:pos="360"/>
      </w:tab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560</Words>
  <Characters>589</Characters>
  <Lines>6</Lines>
  <Paragraphs>1</Paragraphs>
  <TotalTime>0</TotalTime>
  <ScaleCrop>false</ScaleCrop>
  <LinksUpToDate>false</LinksUpToDate>
  <CharactersWithSpaces>609</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qgrd</cp:lastModifiedBy>
  <dcterms:modified xsi:type="dcterms:W3CDTF">2021-06-22T15:06:10Z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