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宋体" w:hAnsi="宋体" w:eastAsia="宋体"/>
          <w:color w:val="FF0000"/>
          <w:spacing w:val="-20"/>
          <w:w w:val="80"/>
          <w:szCs w:val="80"/>
        </w:rPr>
      </w:pPr>
      <w:bookmarkStart w:id="0" w:name="_GoBack"/>
      <w:bookmarkEnd w:id="0"/>
    </w:p>
    <w:p>
      <w:pPr>
        <w:rPr>
          <w:rFonts w:hint="eastAsia" w:ascii="宋体" w:hAnsi="宋体" w:eastAsia="宋体"/>
          <w:color w:val="FF0000"/>
          <w:spacing w:val="-20"/>
          <w:w w:val="80"/>
          <w:szCs w:val="80"/>
        </w:rPr>
      </w:pPr>
    </w:p>
    <w:p>
      <w:pPr>
        <w:jc w:val="center"/>
        <w:rPr>
          <w:rFonts w:hint="eastAsia" w:ascii="宋体" w:hAnsi="宋体" w:eastAsia="宋体"/>
          <w:sz w:val="44"/>
          <w:szCs w:val="80"/>
        </w:rPr>
      </w:pPr>
      <w:r>
        <w:rPr>
          <w:rFonts w:hint="eastAsia" w:ascii="宋体" w:hAnsi="宋体" w:eastAsia="宋体"/>
          <w:sz w:val="44"/>
          <w:szCs w:val="80"/>
        </w:rPr>
        <w:t>中华人民共和国最高人民检察院</w:t>
      </w:r>
    </w:p>
    <w:p>
      <w:pPr>
        <w:jc w:val="center"/>
        <w:rPr>
          <w:rFonts w:hint="eastAsia" w:ascii="黑体" w:eastAsia="黑体"/>
          <w:w w:val="80"/>
          <w:sz w:val="144"/>
          <w:szCs w:val="144"/>
        </w:rPr>
      </w:pPr>
      <w:r>
        <w:rPr>
          <w:rFonts w:hint="eastAsia" w:ascii="宋体" w:hAnsi="宋体" w:eastAsia="宋体"/>
          <w:sz w:val="44"/>
          <w:szCs w:val="144"/>
        </w:rPr>
        <w:t>公    告</w:t>
      </w:r>
    </w:p>
    <w:p>
      <w:pPr>
        <w:rPr>
          <w:rFonts w:hint="eastAsia" w:ascii="仿宋_GB2312" w:hAnsi="仿宋_GB2312" w:cs="仿宋_GB2312"/>
        </w:rPr>
      </w:pPr>
    </w:p>
    <w:p>
      <w:pPr>
        <w:ind w:firstLine="632" w:firstLineChars="200"/>
        <w:rPr>
          <w:rFonts w:hint="eastAsia" w:ascii="仿宋_GB2312" w:hAnsi="仿宋_GB2312" w:cs="仿宋_GB2312"/>
        </w:rPr>
      </w:pPr>
      <w:r>
        <w:rPr>
          <w:rFonts w:hint="eastAsia" w:ascii="仿宋_GB2312" w:hAnsi="仿宋_GB2312" w:cs="仿宋_GB2312"/>
        </w:rPr>
        <w:t>《关于工人等非监管机关在编监管人员私放在押人员行为和失职致使在押人员脱逃行为适用法律问题的解释》已于</w:t>
      </w:r>
      <w:r>
        <w:rPr>
          <w:rFonts w:ascii="仿宋_GB2312" w:hAnsi="仿宋_GB2312" w:cs="仿宋_GB2312"/>
        </w:rPr>
        <w:t>2001</w:t>
      </w:r>
      <w:r>
        <w:rPr>
          <w:rFonts w:hint="eastAsia" w:ascii="仿宋_GB2312" w:hAnsi="仿宋_GB2312" w:cs="仿宋_GB2312"/>
        </w:rPr>
        <w:t>年</w:t>
      </w:r>
      <w:r>
        <w:rPr>
          <w:rFonts w:ascii="仿宋_GB2312" w:hAnsi="仿宋_GB2312" w:cs="仿宋_GB2312"/>
        </w:rPr>
        <w:t>1</w:t>
      </w:r>
      <w:r>
        <w:rPr>
          <w:rFonts w:hint="eastAsia" w:ascii="仿宋_GB2312" w:hAnsi="仿宋_GB2312" w:cs="仿宋_GB2312"/>
        </w:rPr>
        <w:t>月</w:t>
      </w:r>
      <w:r>
        <w:rPr>
          <w:rFonts w:ascii="仿宋_GB2312" w:hAnsi="仿宋_GB2312" w:cs="仿宋_GB2312"/>
        </w:rPr>
        <w:t>2</w:t>
      </w:r>
      <w:r>
        <w:rPr>
          <w:rFonts w:hint="eastAsia" w:ascii="仿宋_GB2312" w:hAnsi="仿宋_GB2312" w:cs="仿宋_GB2312"/>
        </w:rPr>
        <w:t>日由最高人民检察院第九届检察委员会第七十九次会议通过，现予公布，自</w:t>
      </w:r>
      <w:r>
        <w:rPr>
          <w:rFonts w:ascii="仿宋_GB2312" w:hAnsi="仿宋_GB2312" w:cs="仿宋_GB2312"/>
        </w:rPr>
        <w:t>2001</w:t>
      </w:r>
      <w:r>
        <w:rPr>
          <w:rFonts w:hint="eastAsia" w:ascii="仿宋_GB2312" w:hAnsi="仿宋_GB2312" w:cs="仿宋_GB2312"/>
        </w:rPr>
        <w:t>年</w:t>
      </w:r>
      <w:r>
        <w:rPr>
          <w:rFonts w:ascii="仿宋_GB2312" w:hAnsi="仿宋_GB2312" w:cs="仿宋_GB2312"/>
        </w:rPr>
        <w:t>3</w:t>
      </w:r>
      <w:r>
        <w:rPr>
          <w:rFonts w:hint="eastAsia" w:ascii="仿宋_GB2312" w:hAnsi="仿宋_GB2312" w:cs="仿宋_GB2312"/>
        </w:rPr>
        <w:t>月</w:t>
      </w:r>
      <w:r>
        <w:rPr>
          <w:rFonts w:ascii="仿宋_GB2312" w:hAnsi="仿宋_GB2312" w:cs="仿宋_GB2312"/>
        </w:rPr>
        <w:t>2</w:t>
      </w:r>
      <w:r>
        <w:rPr>
          <w:rFonts w:hint="eastAsia" w:ascii="仿宋_GB2312" w:hAnsi="仿宋_GB2312" w:cs="仿宋_GB2312"/>
        </w:rPr>
        <w:t>日起施行。</w:t>
      </w:r>
    </w:p>
    <w:p>
      <w:pPr>
        <w:ind w:firstLine="632" w:firstLineChars="200"/>
        <w:rPr>
          <w:rFonts w:hint="eastAsia" w:ascii="仿宋_GB2312" w:hAnsi="仿宋_GB2312" w:cs="仿宋_GB2312"/>
        </w:rPr>
      </w:pPr>
    </w:p>
    <w:p>
      <w:pPr>
        <w:ind w:firstLine="632" w:firstLineChars="200"/>
        <w:rPr>
          <w:rFonts w:hint="eastAsia" w:ascii="仿宋_GB2312" w:hAnsi="仿宋_GB2312" w:cs="仿宋_GB2312"/>
        </w:rPr>
      </w:pPr>
    </w:p>
    <w:p>
      <w:pPr>
        <w:wordWrap w:val="0"/>
        <w:ind w:firstLine="632" w:firstLineChars="200"/>
        <w:jc w:val="right"/>
        <w:rPr>
          <w:rFonts w:hint="eastAsia" w:ascii="仿宋_GB2312" w:hAnsi="仿宋_GB2312" w:cs="仿宋_GB2312"/>
        </w:rPr>
      </w:pPr>
      <w:r>
        <w:rPr>
          <w:rFonts w:hint="eastAsia" w:ascii="仿宋_GB2312" w:hAnsi="仿宋_GB2312" w:cs="仿宋_GB2312"/>
        </w:rPr>
        <w:t xml:space="preserve">最高人民检察院    </w:t>
      </w:r>
    </w:p>
    <w:p>
      <w:pPr>
        <w:ind w:firstLine="632" w:firstLineChars="200"/>
        <w:rPr>
          <w:rFonts w:hint="eastAsia" w:ascii="仿宋_GB2312" w:hAnsi="仿宋_GB2312" w:cs="仿宋_GB2312"/>
        </w:rPr>
      </w:pPr>
      <w:r>
        <w:rPr>
          <w:rFonts w:ascii="仿宋_GB2312" w:hAnsi="仿宋_GB2312" w:cs="仿宋_GB2312"/>
        </w:rPr>
        <w:t xml:space="preserve">                                  2001</w:t>
      </w:r>
      <w:r>
        <w:rPr>
          <w:rFonts w:hint="eastAsia" w:ascii="仿宋_GB2312" w:hAnsi="仿宋_GB2312" w:cs="仿宋_GB2312"/>
        </w:rPr>
        <w:t>年</w:t>
      </w:r>
      <w:r>
        <w:rPr>
          <w:rFonts w:ascii="仿宋_GB2312" w:hAnsi="仿宋_GB2312" w:cs="仿宋_GB2312"/>
        </w:rPr>
        <w:t>3</w:t>
      </w:r>
      <w:r>
        <w:rPr>
          <w:rFonts w:hint="eastAsia" w:ascii="仿宋_GB2312" w:hAnsi="仿宋_GB2312" w:cs="仿宋_GB2312"/>
        </w:rPr>
        <w:t>月</w:t>
      </w:r>
      <w:r>
        <w:rPr>
          <w:rFonts w:ascii="仿宋_GB2312" w:hAnsi="仿宋_GB2312" w:cs="仿宋_GB2312"/>
        </w:rPr>
        <w:t>2</w:t>
      </w:r>
      <w:r>
        <w:rPr>
          <w:rFonts w:hint="eastAsia" w:ascii="仿宋_GB2312" w:hAnsi="仿宋_GB2312" w:cs="仿宋_GB2312"/>
        </w:rPr>
        <w:t xml:space="preserve">日    </w:t>
      </w:r>
    </w:p>
    <w:p>
      <w:pPr>
        <w:rPr>
          <w:rFonts w:hint="eastAsia" w:ascii="仿宋_GB2312" w:hAnsi="仿宋_GB2312" w:cs="仿宋_GB2312"/>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sectPr>
          <w:footerReference r:id="rId3" w:type="default"/>
          <w:footerReference r:id="rId4" w:type="even"/>
          <w:pgSz w:w="11906" w:h="16838"/>
          <w:pgMar w:top="2098" w:right="1531" w:bottom="1985" w:left="1531" w:header="851" w:footer="1588" w:gutter="0"/>
          <w:cols w:space="720" w:num="1"/>
          <w:titlePg/>
          <w:docGrid w:type="linesAndChars" w:linePitch="579" w:charSpace="-849"/>
        </w:sectPr>
      </w:pPr>
    </w:p>
    <w:p>
      <w:pPr>
        <w:rPr>
          <w:rFonts w:hint="eastAsia"/>
        </w:rPr>
      </w:pPr>
    </w:p>
    <w:p>
      <w:pPr>
        <w:rPr>
          <w:rFonts w:hint="eastAsia"/>
        </w:rPr>
      </w:pPr>
    </w:p>
    <w:p>
      <w:pPr>
        <w:jc w:val="center"/>
        <w:rPr>
          <w:rFonts w:hint="eastAsia" w:ascii="宋体" w:hAnsi="宋体" w:eastAsia="宋体" w:cs="宋体"/>
          <w:sz w:val="44"/>
          <w:szCs w:val="44"/>
        </w:rPr>
      </w:pPr>
      <w:r>
        <w:rPr>
          <w:rFonts w:ascii="宋体" w:hAnsi="宋体" w:eastAsia="宋体" w:cs="宋体"/>
          <w:sz w:val="44"/>
          <w:szCs w:val="44"/>
        </w:rPr>
        <w:t>关于工人等非监管机关在编监管人员</w:t>
      </w:r>
    </w:p>
    <w:p>
      <w:pPr>
        <w:jc w:val="center"/>
        <w:rPr>
          <w:rFonts w:hint="eastAsia" w:ascii="宋体" w:hAnsi="宋体" w:eastAsia="宋体" w:cs="宋体"/>
          <w:sz w:val="44"/>
          <w:szCs w:val="44"/>
        </w:rPr>
      </w:pPr>
      <w:r>
        <w:rPr>
          <w:rFonts w:ascii="宋体" w:hAnsi="宋体" w:eastAsia="宋体" w:cs="宋体"/>
          <w:sz w:val="44"/>
          <w:szCs w:val="44"/>
        </w:rPr>
        <w:t>私放在押人员行为和失职致使在押人员</w:t>
      </w:r>
    </w:p>
    <w:p>
      <w:pPr>
        <w:jc w:val="center"/>
        <w:rPr>
          <w:rFonts w:ascii="宋体" w:hAnsi="宋体" w:eastAsia="宋体" w:cs="宋体"/>
          <w:sz w:val="44"/>
          <w:szCs w:val="44"/>
        </w:rPr>
      </w:pPr>
      <w:r>
        <w:rPr>
          <w:rFonts w:ascii="宋体" w:hAnsi="宋体" w:eastAsia="宋体" w:cs="宋体"/>
          <w:sz w:val="44"/>
          <w:szCs w:val="44"/>
        </w:rPr>
        <w:t>脱逃行为适用法律问题的解释</w:t>
      </w:r>
    </w:p>
    <w:p>
      <w:pPr>
        <w:rPr>
          <w:rFonts w:hint="eastAsia" w:ascii="宋体" w:hAnsi="宋体" w:eastAsia="宋体" w:cs="楷体_GB2312"/>
        </w:rPr>
      </w:pPr>
    </w:p>
    <w:p>
      <w:pPr>
        <w:jc w:val="center"/>
        <w:rPr>
          <w:rFonts w:hint="eastAsia" w:ascii="楷体_GB2312" w:hAnsi="楷体_GB2312" w:eastAsia="楷体_GB2312" w:cs="楷体_GB2312"/>
        </w:rPr>
      </w:pPr>
      <w:r>
        <w:rPr>
          <w:rFonts w:hint="eastAsia" w:ascii="楷体_GB2312" w:hAnsi="楷体_GB2312" w:eastAsia="楷体_GB2312" w:cs="楷体_GB2312"/>
        </w:rPr>
        <w:t>（2001年1月2日最高人民检察院第九届检察委员会</w:t>
      </w:r>
    </w:p>
    <w:p>
      <w:pPr>
        <w:jc w:val="center"/>
        <w:rPr>
          <w:rFonts w:hint="eastAsia" w:ascii="楷体_GB2312" w:hAnsi="楷体_GB2312" w:eastAsia="楷体_GB2312" w:cs="楷体_GB2312"/>
        </w:rPr>
      </w:pPr>
      <w:r>
        <w:rPr>
          <w:rFonts w:hint="eastAsia" w:ascii="楷体_GB2312" w:hAnsi="楷体_GB2312" w:eastAsia="楷体_GB2312" w:cs="楷体_GB2312"/>
        </w:rPr>
        <w:t>第七十九次会议通过）</w:t>
      </w:r>
    </w:p>
    <w:p>
      <w:pPr>
        <w:jc w:val="center"/>
        <w:rPr>
          <w:rFonts w:hint="eastAsia" w:ascii="楷体_GB2312" w:hAnsi="楷体_GB2312" w:eastAsia="楷体_GB2312" w:cs="楷体_GB2312"/>
        </w:rPr>
      </w:pPr>
    </w:p>
    <w:p>
      <w:pPr>
        <w:jc w:val="center"/>
        <w:rPr>
          <w:rFonts w:hint="eastAsia" w:ascii="仿宋_GB2312" w:hAnsi="宋体" w:cs="楷体_GB2312"/>
        </w:rPr>
      </w:pPr>
      <w:r>
        <w:rPr>
          <w:rFonts w:hint="eastAsia" w:ascii="仿宋_GB2312" w:hAnsi="宋体" w:cs="楷体_GB2312"/>
        </w:rPr>
        <w:t>高检发释字〔2001〕2号</w:t>
      </w:r>
    </w:p>
    <w:p>
      <w:pPr>
        <w:rPr>
          <w:rFonts w:hint="eastAsia"/>
        </w:rPr>
      </w:pPr>
    </w:p>
    <w:p>
      <w:pPr>
        <w:ind w:left="0" w:leftChars="0" w:firstLine="638" w:firstLineChars="202"/>
      </w:pPr>
      <w:r>
        <w:t>为依法办理私放在押人员犯罪案件和失职致使在押人员脱逃犯罪案件，对工人等非监管机关在编监管人员私放在押人员行为和失职致使在押人员脱逃行为如何适用法律问题解释如下：</w:t>
      </w:r>
    </w:p>
    <w:p>
      <w:pPr>
        <w:ind w:left="0" w:leftChars="0" w:firstLine="638" w:firstLineChars="202"/>
      </w:pPr>
      <w:r>
        <w:t>工人等非监管机关在编监管人员在被监管机关聘用受委托履行监管职责的过程中私放在押人员的，应当依照刑法第四百条第一款的规定，以私放在押人员罪追究刑事责任；由于严重不负责任，致使在押人员脱逃，造成严重后果的，应当依照刑法第四百条第二款的规定，以失职致使在押人员脱逃罪追究刑事责任。</w:t>
      </w:r>
    </w:p>
    <w:sectPr>
      <w:footerReference r:id="rId5" w:type="default"/>
      <w:footerReference r:id="rId6" w:type="even"/>
      <w:pgSz w:w="11906" w:h="16838"/>
      <w:pgMar w:top="2098" w:right="1531" w:bottom="1985" w:left="1531" w:header="851" w:footer="1588" w:gutter="0"/>
      <w:pgNumType w:start="1"/>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Microsoft YaHei">
    <w:altName w:val="黑体"/>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outside" w:y="1"/>
      <w:ind w:right="320" w:rightChars="100"/>
      <w:rPr>
        <w:rStyle w:val="13"/>
        <w:rFonts w:hint="eastAsia" w:ascii="宋体" w:hAnsi="宋体" w:eastAsia="宋体"/>
        <w:sz w:val="28"/>
      </w:rPr>
    </w:pP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 xml:space="preserve">－  </w:t>
    </w:r>
  </w:p>
  <w:p>
    <w:pPr>
      <w:pStyle w:val="7"/>
      <w:ind w:right="360" w:firstLine="360"/>
      <w:rPr>
        <w:rFonts w:hint="eastAsia"/>
      </w:rPr>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outside" w:y="1"/>
      <w:ind w:right="-342" w:rightChars="-107"/>
      <w:rPr>
        <w:rStyle w:val="13"/>
        <w:rFonts w:hint="eastAsia" w:ascii="仿宋_GB2312"/>
        <w:sz w:val="28"/>
      </w:rPr>
    </w:pPr>
    <w:r>
      <w:rPr>
        <w:rStyle w:val="13"/>
        <w:rFonts w:hint="eastAsia" w:ascii="仿宋_GB2312"/>
        <w:sz w:val="28"/>
      </w:rPr>
      <w:t>　</w:t>
    </w: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2</w:t>
    </w:r>
    <w:r>
      <w:rPr>
        <w:rFonts w:hint="eastAsia" w:ascii="宋体" w:hAnsi="宋体" w:eastAsia="宋体"/>
        <w:sz w:val="28"/>
      </w:rPr>
      <w:fldChar w:fldCharType="end"/>
    </w:r>
    <w:r>
      <w:rPr>
        <w:rStyle w:val="13"/>
        <w:rFonts w:hint="eastAsia" w:ascii="宋体" w:hAnsi="宋体" w:eastAsia="宋体"/>
        <w:sz w:val="28"/>
      </w:rPr>
      <w:t>－</w:t>
    </w:r>
  </w:p>
  <w:p>
    <w:pPr>
      <w:pStyle w:val="7"/>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20" w:rightChars="100"/>
                            <w:rPr>
                              <w:rStyle w:val="13"/>
                              <w:rFonts w:hint="eastAsia" w:ascii="宋体" w:hAnsi="宋体" w:eastAsia="宋体"/>
                              <w:sz w:val="28"/>
                            </w:rPr>
                          </w:pP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 xml:space="preserve">－  </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IBPR069AQAAWwMAAA4AAAAAAAAAAQAgAAAANQEA&#10;AGRycy9lMm9Eb2MueG1sUEsFBgAAAAAGAAYAWQEAAGQFAAAAAA==&#10;">
              <v:fill on="f" focussize="0,0"/>
              <v:stroke on="f"/>
              <v:imagedata o:title=""/>
              <o:lock v:ext="edit" aspectratio="f"/>
              <v:textbox inset="0mm,0mm,0mm,0mm" style="mso-fit-shape-to-text:t;">
                <w:txbxContent>
                  <w:p>
                    <w:pPr>
                      <w:pStyle w:val="7"/>
                      <w:ind w:right="320" w:rightChars="100"/>
                      <w:rPr>
                        <w:rStyle w:val="13"/>
                        <w:rFonts w:hint="eastAsia" w:ascii="宋体" w:hAnsi="宋体" w:eastAsia="宋体"/>
                        <w:sz w:val="28"/>
                      </w:rPr>
                    </w:pP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 xml:space="preserve">－  </w:t>
                    </w:r>
                  </w:p>
                </w:txbxContent>
              </v:textbox>
            </v:shape>
          </w:pict>
        </mc:Fallback>
      </mc:AlternateContent>
    </w:r>
    <w:r>
      <w:rPr>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42" w:rightChars="-107"/>
                            <w:rPr>
                              <w:rStyle w:val="13"/>
                              <w:rFonts w:hint="eastAsia" w:ascii="仿宋_GB2312"/>
                              <w:sz w:val="28"/>
                            </w:rPr>
                          </w:pPr>
                          <w:r>
                            <w:rPr>
                              <w:rStyle w:val="13"/>
                              <w:rFonts w:hint="eastAsia" w:ascii="仿宋_GB2312"/>
                              <w:sz w:val="28"/>
                            </w:rPr>
                            <w:t>　</w:t>
                          </w: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hint="eastAsia"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OYmcem9AQAAWwMAAA4AAAAAAAAAAQAgAAAANQEA&#10;AGRycy9lMm9Eb2MueG1sUEsFBgAAAAAGAAYAWQEAAGQFAAAAAA==&#10;">
              <v:fill on="f" focussize="0,0"/>
              <v:stroke on="f"/>
              <v:imagedata o:title=""/>
              <o:lock v:ext="edit" aspectratio="f"/>
              <v:textbox inset="0mm,0mm,0mm,0mm" style="mso-fit-shape-to-text:t;">
                <w:txbxContent>
                  <w:p>
                    <w:pPr>
                      <w:pStyle w:val="7"/>
                      <w:ind w:right="-342" w:rightChars="-107"/>
                      <w:rPr>
                        <w:rStyle w:val="13"/>
                        <w:rFonts w:hint="eastAsia" w:ascii="仿宋_GB2312"/>
                        <w:sz w:val="28"/>
                      </w:rPr>
                    </w:pPr>
                    <w:r>
                      <w:rPr>
                        <w:rStyle w:val="13"/>
                        <w:rFonts w:hint="eastAsia" w:ascii="仿宋_GB2312"/>
                        <w:sz w:val="28"/>
                      </w:rPr>
                      <w:t>　</w:t>
                    </w: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hint="eastAsia"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attachedTemplate r:id="rId1"/>
  <w:documentProtection w:enforcement="0"/>
  <w:defaultTabStop w:val="420"/>
  <w:hyphenationZone w:val="360"/>
  <w:evenAndOddHeaders w:val="true"/>
  <w:drawingGridHorizontalSpacing w:val="158"/>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679B8"/>
    <w:rsid w:val="00D225EC"/>
    <w:rsid w:val="00F41856"/>
    <w:rsid w:val="18217823"/>
    <w:rsid w:val="23081FC1"/>
    <w:rsid w:val="415338FC"/>
    <w:rsid w:val="7E526C6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
      <w:kern w:val="44"/>
      <w:sz w:val="44"/>
    </w:rPr>
  </w:style>
  <w:style w:type="paragraph" w:styleId="3">
    <w:name w:val="heading 2"/>
    <w:basedOn w:val="1"/>
    <w:next w:val="1"/>
    <w:qFormat/>
    <w:uiPriority w:val="0"/>
    <w:pPr>
      <w:keepNext/>
      <w:keepLines/>
      <w:spacing w:before="260" w:beforeLines="0" w:after="260" w:afterLines="0" w:line="413" w:lineRule="auto"/>
      <w:outlineLvl w:val="1"/>
    </w:pPr>
    <w:rPr>
      <w:rFonts w:ascii="Arial" w:hAnsi="Arial" w:eastAsia="黑体"/>
      <w:b/>
      <w:bCs/>
      <w:kern w:val="2"/>
      <w:sz w:val="32"/>
      <w:szCs w:val="32"/>
      <w:lang w:val="en-US" w:eastAsia="zh-CN" w:bidi="ar-SA"/>
    </w:rPr>
  </w:style>
  <w:style w:type="character" w:default="1" w:styleId="12">
    <w:name w:val="Default Paragraph Font"/>
    <w:qFormat/>
    <w:uiPriority w:val="0"/>
  </w:style>
  <w:style w:type="table" w:default="1" w:styleId="11">
    <w:name w:val="Normal Table"/>
    <w:unhideWhenUsed/>
    <w:qFormat/>
    <w:uiPriority w:val="99"/>
    <w:tblPr>
      <w:tblCellMar>
        <w:top w:w="0" w:type="dxa"/>
        <w:left w:w="108" w:type="dxa"/>
        <w:bottom w:w="0" w:type="dxa"/>
        <w:right w:w="108" w:type="dxa"/>
      </w:tblCellMar>
    </w:tblPr>
  </w:style>
  <w:style w:type="paragraph" w:styleId="4">
    <w:name w:val="Body Text Indent"/>
    <w:basedOn w:val="1"/>
    <w:qFormat/>
    <w:uiPriority w:val="0"/>
    <w:pPr>
      <w:ind w:firstLine="630"/>
    </w:pPr>
  </w:style>
  <w:style w:type="paragraph" w:styleId="5">
    <w:name w:val="Plain Text"/>
    <w:basedOn w:val="1"/>
    <w:qFormat/>
    <w:uiPriority w:val="0"/>
    <w:rPr>
      <w:rFonts w:ascii="宋体" w:hAnsi="Courier New" w:cs="Courier New"/>
      <w:szCs w:val="21"/>
    </w:rPr>
  </w:style>
  <w:style w:type="paragraph" w:styleId="6">
    <w:name w:val="Body Text Indent 2"/>
    <w:basedOn w:val="1"/>
    <w:qFormat/>
    <w:uiPriority w:val="0"/>
    <w:pPr>
      <w:widowControl/>
      <w:spacing w:line="400" w:lineRule="exact"/>
      <w:ind w:firstLine="480" w:firstLineChars="200"/>
    </w:pPr>
    <w:rPr>
      <w:sz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rPr>
  </w:style>
  <w:style w:type="paragraph" w:styleId="9">
    <w:name w:val="toc 1"/>
    <w:basedOn w:val="1"/>
    <w:next w:val="1"/>
    <w:qFormat/>
    <w:uiPriority w:val="0"/>
    <w:pPr>
      <w:tabs>
        <w:tab w:val="right" w:leader="dot" w:pos="8296"/>
      </w:tabs>
    </w:pPr>
    <w:rPr>
      <w:rFonts w:ascii="黑体" w:eastAsia="黑体"/>
      <w:sz w:val="44"/>
      <w:szCs w:val="44"/>
    </w:rPr>
  </w:style>
  <w:style w:type="paragraph" w:styleId="10">
    <w:name w:val="Normal (Web)"/>
    <w:basedOn w:val="1"/>
    <w:qFormat/>
    <w:uiPriority w:val="0"/>
    <w:pPr>
      <w:spacing w:before="100" w:beforeLines="0" w:beforeAutospacing="1" w:after="100" w:afterLines="0" w:afterAutospacing="1"/>
      <w:ind w:left="0" w:right="0"/>
      <w:jc w:val="left"/>
    </w:pPr>
    <w:rPr>
      <w:kern w:val="0"/>
      <w:sz w:val="24"/>
      <w:lang w:val="en-US" w:eastAsia="zh-CN" w:bidi="ar-SA"/>
    </w:rPr>
  </w:style>
  <w:style w:type="character" w:styleId="13">
    <w:name w:val="page number"/>
    <w:basedOn w:val="12"/>
    <w:qFormat/>
    <w:uiPriority w:val="0"/>
  </w:style>
  <w:style w:type="character" w:styleId="14">
    <w:name w:val="Hyperlink"/>
    <w:basedOn w:val="12"/>
    <w:qFormat/>
    <w:uiPriority w:val="0"/>
    <w:rPr>
      <w:color w:val="0000FF"/>
      <w:u w:val="single"/>
    </w:rPr>
  </w:style>
  <w:style w:type="paragraph" w:customStyle="1" w:styleId="15">
    <w:name w:val="Char Char Char Char Char Char Char"/>
    <w:basedOn w:val="1"/>
    <w:qFormat/>
    <w:uiPriority w:val="0"/>
    <w:pPr>
      <w:ind w:firstLine="200" w:firstLineChars="200"/>
    </w:pPr>
  </w:style>
  <w:style w:type="paragraph" w:customStyle="1" w:styleId="16">
    <w:name w:val="Char1"/>
    <w:basedOn w:val="1"/>
    <w:qFormat/>
    <w:uiPriority w:val="0"/>
    <w:pPr>
      <w:tabs>
        <w:tab w:val="left" w:pos="360"/>
      </w:tabs>
    </w:pPr>
  </w:style>
  <w:style w:type="paragraph" w:customStyle="1" w:styleId="17">
    <w:name w:val="default paragraph font Char"/>
    <w:basedOn w:val="1"/>
    <w:qFormat/>
    <w:uiPriority w:val="0"/>
    <w:pPr>
      <w:spacing w:line="240" w:lineRule="atLeast"/>
      <w:ind w:left="420" w:firstLine="420"/>
    </w:pPr>
  </w:style>
  <w:style w:type="paragraph" w:customStyle="1" w:styleId="18">
    <w:name w:val=" Char1 Char Char Char"/>
    <w:basedOn w:val="1"/>
    <w:qFormat/>
    <w:uiPriority w:val="0"/>
  </w:style>
  <w:style w:type="paragraph" w:customStyle="1" w:styleId="19">
    <w:name w:val="p0"/>
    <w:basedOn w:val="1"/>
    <w:qFormat/>
    <w:uiPriority w:val="0"/>
    <w:pPr>
      <w:widowControl/>
    </w:pPr>
    <w:rPr>
      <w:kern w:val="0"/>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qgrd/E:\&#24037;&#20316;\&#27861;&#24459;&#25919;&#31574;&#30740;&#31350;&#23460;\20171031%20&#39640;&#26816;&#21496;&#27861;&#35299;&#37322;&#25972;&#29702;\20171102%20&#26368;&#39640;&#20154;&#27665;&#26816;&#23519;&#38498;&#21496;&#27861;&#35299;&#37322;42&#39033;&#25253;&#22791;&#25991;&#20214;%20&#38771;&#23159;%20&#26684;&#24335;&#35843;&#25972;\1.docx&#26684;&#24335;\&#30333;&#32440;&#27169;&#2925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白纸模版</Template>
  <Pages>3</Pages>
  <Words>432</Words>
  <Characters>447</Characters>
  <Lines>3</Lines>
  <Paragraphs>1</Paragraphs>
  <TotalTime>0</TotalTime>
  <ScaleCrop>false</ScaleCrop>
  <LinksUpToDate>false</LinksUpToDate>
  <CharactersWithSpaces>493</CharactersWithSpaces>
  <Application>WPS Office_11.8.2.10251_F1E327BC-269C-435d-A152-05C5408002CA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2017-11-01T03:03:00Z</dcterms:created>
  <dc:creator>admin</dc:creator>
  <cp:lastModifiedBy>qgrd</cp:lastModifiedBy>
  <dcterms:modified xsi:type="dcterms:W3CDTF">2021-06-22T15:32:28Z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2052-11.8.2.10251</vt:lpwstr>
  </property>
</Properties>
</file>