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rPr>
      </w:pPr>
      <w:r>
        <w:rPr>
          <w:rFonts w:hint="eastAsia" w:ascii="仿宋_GB2312" w:hAnsi="仿宋_GB2312" w:cs="仿宋_GB2312"/>
        </w:rPr>
        <w:t>《最高人民检察院关于强制隔离戒毒所工作人员能否成为虐待被监管人罪主体问题的批复》已于2015年1月29日由最高人民检察院第十二届检察委员会第三十四次会议通过，现予公布，自公布之日起施行。</w:t>
      </w:r>
    </w:p>
    <w:p>
      <w:pPr>
        <w:ind w:firstLine="632" w:firstLineChars="200"/>
        <w:rPr>
          <w:rFonts w:hint="eastAsia" w:ascii="仿宋_GB2312" w:hAnsi="仿宋_GB2312" w:cs="仿宋_GB2312"/>
        </w:rPr>
      </w:pPr>
    </w:p>
    <w:p>
      <w:pPr>
        <w:ind w:firstLine="632" w:firstLineChars="200"/>
        <w:rPr>
          <w:rFonts w:hint="eastAsia" w:ascii="仿宋_GB2312" w:hAnsi="仿宋_GB2312" w:cs="仿宋_GB231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ascii="仿宋_GB2312" w:hAnsi="仿宋_GB2312" w:cs="仿宋_GB2312"/>
        </w:rPr>
      </w:pPr>
      <w:r>
        <w:rPr>
          <w:rFonts w:hint="eastAsia" w:ascii="仿宋_GB2312" w:hAnsi="仿宋_GB2312" w:cs="仿宋_GB2312"/>
        </w:rPr>
        <w:t>2015年2月15日</w:t>
      </w:r>
      <w:r>
        <w:rPr>
          <w:rFonts w:hint="eastAsia" w:ascii="仿宋_GB2312" w:hAnsi="仿宋_GB2312" w:cs="仿宋_GB2312"/>
          <w:lang w:val="en-US" w:eastAsia="zh-CN"/>
        </w:rPr>
        <w:t xml:space="preserve">    </w:t>
      </w:r>
    </w:p>
    <w:p>
      <w:pPr>
        <w:rPr>
          <w:rFonts w:hint="eastAsia" w:ascii="仿宋_GB2312" w:hAnsi="仿宋_GB2312" w:cs="仿宋_GB2312"/>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最高人民检察院关于强制隔离戒毒所工作人员能否成为虐待被监管人罪主体问题的批复</w:t>
      </w:r>
    </w:p>
    <w:p>
      <w:pPr>
        <w:jc w:val="center"/>
        <w:rPr>
          <w:rFonts w:hint="eastAsia" w:asciiTheme="minorEastAsia" w:hAnsiTheme="minorEastAsia" w:eastAsiaTheme="minorEastAsia" w:cstheme="minorEastAsia"/>
          <w:szCs w:val="44"/>
        </w:rPr>
      </w:pPr>
    </w:p>
    <w:p>
      <w:pPr>
        <w:jc w:val="center"/>
        <w:rPr>
          <w:rFonts w:hint="eastAsia" w:ascii="楷体_GB2312" w:hAnsi="楷体_GB2312" w:eastAsia="楷体_GB2312" w:cs="Times New Roman"/>
          <w:szCs w:val="44"/>
        </w:rPr>
      </w:pPr>
      <w:r>
        <w:rPr>
          <w:rFonts w:hint="eastAsia" w:ascii="楷体_GB2312" w:hAnsi="楷体_GB2312" w:eastAsia="楷体_GB2312" w:cs="Times New Roman"/>
          <w:szCs w:val="44"/>
        </w:rPr>
        <w:t>（2015年1月29日最高人民检察院第十二届检察委员会</w:t>
      </w:r>
    </w:p>
    <w:p>
      <w:pPr>
        <w:jc w:val="center"/>
        <w:rPr>
          <w:rFonts w:hint="eastAsia" w:ascii="楷体_GB2312" w:hAnsi="楷体_GB2312" w:eastAsia="楷体_GB2312" w:cs="Times New Roman"/>
          <w:szCs w:val="44"/>
        </w:rPr>
      </w:pPr>
      <w:r>
        <w:rPr>
          <w:rFonts w:hint="eastAsia" w:ascii="楷体_GB2312" w:hAnsi="楷体_GB2312" w:eastAsia="楷体_GB2312" w:cs="Times New Roman"/>
          <w:szCs w:val="44"/>
        </w:rPr>
        <w:t>第三十四次会议通过）</w:t>
      </w:r>
    </w:p>
    <w:p>
      <w:pPr>
        <w:jc w:val="center"/>
        <w:rPr>
          <w:rFonts w:hint="eastAsia" w:ascii="楷体_GB2312" w:hAnsi="楷体_GB2312" w:eastAsia="楷体_GB2312" w:cs="Times New Roman"/>
          <w:szCs w:val="44"/>
        </w:rPr>
      </w:pPr>
    </w:p>
    <w:p>
      <w:pPr>
        <w:jc w:val="center"/>
        <w:rPr>
          <w:rFonts w:hint="eastAsia" w:ascii="仿宋_GB2312" w:hAnsi="仿宋_GB2312" w:cs="仿宋_GB2312"/>
        </w:rPr>
      </w:pPr>
      <w:r>
        <w:rPr>
          <w:rFonts w:hint="eastAsia" w:ascii="仿宋_GB2312" w:hAnsi="仿宋_GB2312" w:cs="仿宋_GB2312"/>
        </w:rPr>
        <w:t>高检发释字〔2015〕2号</w:t>
      </w:r>
    </w:p>
    <w:p>
      <w:pPr>
        <w:rPr>
          <w:rFonts w:cs="Times New Roman"/>
        </w:rPr>
      </w:pPr>
    </w:p>
    <w:p>
      <w:pPr>
        <w:rPr>
          <w:rFonts w:hint="eastAsia" w:ascii="仿宋_GB2312" w:hAnsi="仿宋_GB2312" w:cs="仿宋_GB2312"/>
        </w:rPr>
      </w:pPr>
      <w:r>
        <w:rPr>
          <w:rFonts w:hint="eastAsia" w:ascii="仿宋_GB2312" w:hAnsi="仿宋_GB2312" w:cs="Times New Roman"/>
        </w:rPr>
        <w:t>河北省人</w:t>
      </w:r>
      <w:r>
        <w:rPr>
          <w:rFonts w:hint="eastAsia" w:ascii="仿宋_GB2312" w:hAnsi="仿宋_GB2312" w:cs="仿宋_GB2312"/>
        </w:rPr>
        <w:t>民检察院：</w:t>
      </w:r>
    </w:p>
    <w:p>
      <w:pPr>
        <w:ind w:firstLine="638" w:firstLineChars="202"/>
        <w:rPr>
          <w:rFonts w:hint="eastAsia" w:ascii="仿宋_GB2312" w:hAnsi="仿宋_GB2312" w:cs="仿宋_GB2312"/>
        </w:rPr>
      </w:pPr>
      <w:r>
        <w:rPr>
          <w:rFonts w:hint="eastAsia" w:ascii="仿宋_GB2312" w:hAnsi="仿宋_GB2312" w:cs="仿宋_GB2312"/>
        </w:rPr>
        <w:t>你院冀检呈字〔2014〕46号《关于强制隔离戒毒所工作人员能否成为刑法第二百四十八条虐待被监管人罪主体的请示》收悉。经研究，批复如下：</w:t>
      </w:r>
    </w:p>
    <w:p>
      <w:pPr>
        <w:ind w:firstLine="632" w:firstLineChars="200"/>
        <w:rPr>
          <w:rFonts w:hint="eastAsia" w:ascii="仿宋_GB2312" w:hAnsi="仿宋_GB2312" w:cs="Times New Roman"/>
        </w:rPr>
      </w:pPr>
      <w:r>
        <w:rPr>
          <w:rFonts w:hint="eastAsia" w:ascii="仿宋_GB2312" w:hAnsi="仿宋_GB2312" w:cs="Times New Roman"/>
        </w:rPr>
        <w:t>根据有关法律规定，强制隔离戒毒所是对符合特定条件的吸毒成瘾人员限制人身自由，进行强制隔离戒毒的监管机构，其履行监管职责的工作人员属于刑法第二百四十八条规定的监管人员。</w:t>
      </w:r>
    </w:p>
    <w:p>
      <w:pPr>
        <w:ind w:firstLine="632" w:firstLineChars="200"/>
        <w:rPr>
          <w:rFonts w:hint="eastAsia" w:ascii="仿宋_GB2312" w:hAnsi="仿宋_GB2312" w:cs="Times New Roman"/>
        </w:rPr>
      </w:pPr>
      <w:r>
        <w:rPr>
          <w:rFonts w:hint="eastAsia" w:ascii="仿宋_GB2312" w:hAnsi="仿宋_GB2312" w:cs="Times New Roman"/>
        </w:rPr>
        <w:t>对于强制隔离戒毒所监管人员殴打或者体罚虐待戒毒人员，或者指使戒毒人员殴打、体罚虐待其他戒毒人员，情节严重的，应当适用刑法第二百四十八条的规定，以虐待被监管人罪追究刑事责任；造成戒毒人员伤残、死亡后果的，应当依照刑法第二百三十四条、第二百三十二条的规定，以故意伤害罪、故意杀人罪从重处罚。</w:t>
      </w:r>
    </w:p>
    <w:p>
      <w:pPr>
        <w:ind w:firstLine="632" w:firstLineChars="200"/>
        <w:rPr>
          <w:rFonts w:hint="eastAsia" w:ascii="仿宋_GB2312" w:hAnsi="仿宋_GB2312" w:cs="Times New Roman"/>
        </w:rPr>
      </w:pPr>
      <w:r>
        <w:rPr>
          <w:rFonts w:hint="eastAsia" w:ascii="仿宋_GB2312" w:hAnsi="仿宋_GB2312" w:cs="Times New Roman"/>
        </w:rPr>
        <w:t>此复。</w:t>
      </w:r>
    </w:p>
    <w:p>
      <w:pPr>
        <w:ind w:firstLine="632" w:firstLineChars="200"/>
        <w:jc w:val="right"/>
        <w:rPr>
          <w:rFonts w:hint="eastAsia" w:ascii="仿宋_GB2312" w:hAnsi="仿宋_GB2312" w:cs="Times New Roman"/>
          <w:color w:val="FF0000"/>
        </w:rPr>
      </w:pPr>
    </w:p>
    <w:p>
      <w:pPr>
        <w:ind w:firstLine="632" w:firstLineChars="200"/>
        <w:jc w:val="right"/>
        <w:rPr>
          <w:rFonts w:hint="eastAsia" w:ascii="仿宋_GB2312" w:hAnsi="仿宋_GB2312" w:cs="Times New Roman"/>
          <w:color w:val="FF0000"/>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ind w:firstLine="632" w:firstLineChars="200"/>
        <w:jc w:val="right"/>
        <w:rPr>
          <w:rFonts w:hint="eastAsia" w:ascii="仿宋_GB2312" w:hAnsi="仿宋_GB2312" w:cs="Times New Roman"/>
          <w:color w:val="FF0000"/>
        </w:rPr>
      </w:pPr>
      <w:r>
        <w:rPr>
          <w:rFonts w:hint="eastAsia" w:ascii="仿宋_GB2312" w:hAnsi="仿宋_GB2312" w:cs="仿宋_GB2312"/>
        </w:rPr>
        <w:t>2015年2月15日</w:t>
      </w:r>
      <w:r>
        <w:rPr>
          <w:rFonts w:hint="eastAsia" w:ascii="仿宋_GB2312" w:hAnsi="仿宋_GB2312" w:cs="仿宋_GB2312"/>
          <w:lang w:val="en-US" w:eastAsia="zh-CN"/>
        </w:rPr>
        <w:t xml:space="preserve">    </w:t>
      </w: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1</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2</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AA32DE"/>
    <w:rsid w:val="3CE525F5"/>
    <w:rsid w:val="597E6A0B"/>
    <w:rsid w:val="648D0F2C"/>
    <w:rsid w:val="662147D5"/>
    <w:rsid w:val="B52A7EF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 Char Char Char Char Char Char"/>
    <w:basedOn w:val="1"/>
    <w:qFormat/>
    <w:uiPriority w:val="0"/>
    <w:pPr>
      <w:ind w:firstLine="200" w:firstLineChars="200"/>
    </w:pPr>
  </w:style>
  <w:style w:type="paragraph" w:customStyle="1" w:styleId="14">
    <w:name w:val="p0"/>
    <w:basedOn w:val="1"/>
    <w:qFormat/>
    <w:uiPriority w:val="0"/>
    <w:pPr>
      <w:widowControl/>
    </w:pPr>
    <w:rPr>
      <w:kern w:val="0"/>
      <w:szCs w:val="21"/>
    </w:rPr>
  </w:style>
  <w:style w:type="paragraph" w:customStyle="1" w:styleId="15">
    <w:name w:val=" Char1 Char Char Char"/>
    <w:basedOn w:val="1"/>
    <w:qFormat/>
    <w:uiPriority w:val="0"/>
  </w:style>
  <w:style w:type="paragraph" w:customStyle="1" w:styleId="16">
    <w:name w:val="Char1"/>
    <w:basedOn w:val="1"/>
    <w:qFormat/>
    <w:uiPriority w:val="0"/>
    <w:pPr>
      <w:tabs>
        <w:tab w:val="left" w:pos="360"/>
      </w:tab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4</Pages>
  <Words>513</Words>
  <Characters>536</Characters>
  <Lines>4</Lines>
  <Paragraphs>1</Paragraphs>
  <TotalTime>0</TotalTime>
  <ScaleCrop>false</ScaleCrop>
  <LinksUpToDate>false</LinksUpToDate>
  <CharactersWithSpaces>556</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user</cp:lastModifiedBy>
  <dcterms:modified xsi:type="dcterms:W3CDTF">2021-06-22T10:56:30Z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