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/>
          <w:color w:val="FF0000"/>
          <w:spacing w:val="-20"/>
          <w:w w:val="80"/>
          <w:szCs w:val="80"/>
        </w:rPr>
      </w:pPr>
    </w:p>
    <w:p>
      <w:pPr>
        <w:rPr>
          <w:rFonts w:hint="eastAsia" w:ascii="宋体" w:hAnsi="宋体" w:eastAsia="宋体"/>
          <w:color w:val="FF0000"/>
          <w:spacing w:val="-20"/>
          <w:w w:val="80"/>
          <w:szCs w:val="80"/>
        </w:rPr>
      </w:pPr>
    </w:p>
    <w:p>
      <w:pPr>
        <w:jc w:val="center"/>
        <w:rPr>
          <w:rFonts w:hint="eastAsia" w:ascii="宋体" w:hAnsi="宋体" w:eastAsia="宋体"/>
          <w:sz w:val="44"/>
          <w:szCs w:val="80"/>
        </w:rPr>
      </w:pPr>
      <w:r>
        <w:rPr>
          <w:rFonts w:hint="eastAsia" w:ascii="宋体" w:hAnsi="宋体" w:eastAsia="宋体"/>
          <w:sz w:val="44"/>
          <w:szCs w:val="80"/>
        </w:rPr>
        <w:t>中华人民共和国最高人民检察院</w:t>
      </w:r>
    </w:p>
    <w:p>
      <w:pPr>
        <w:jc w:val="center"/>
        <w:rPr>
          <w:rFonts w:hint="eastAsia" w:ascii="黑体" w:eastAsia="黑体"/>
          <w:w w:val="80"/>
          <w:sz w:val="144"/>
          <w:szCs w:val="144"/>
        </w:rPr>
      </w:pPr>
      <w:r>
        <w:rPr>
          <w:rFonts w:hint="eastAsia" w:ascii="宋体" w:hAnsi="宋体" w:eastAsia="宋体"/>
          <w:sz w:val="44"/>
          <w:szCs w:val="144"/>
        </w:rPr>
        <w:t>公    告</w:t>
      </w:r>
    </w:p>
    <w:p>
      <w:pPr>
        <w:rPr>
          <w:rFonts w:hint="eastAsia" w:ascii="仿宋_GB2312" w:hAnsi="仿宋_GB2312" w:cs="仿宋_GB2312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《关于构成嫖宿幼女罪主观上是否需要具备明知要件的解释》已于</w:t>
      </w:r>
      <w:r>
        <w:rPr>
          <w:rFonts w:ascii="仿宋_GB2312" w:hAnsi="仿宋_GB2312" w:cs="仿宋_GB2312"/>
        </w:rPr>
        <w:t>2001</w:t>
      </w:r>
      <w:r>
        <w:rPr>
          <w:rFonts w:hint="eastAsia" w:ascii="仿宋_GB2312" w:hAnsi="仿宋_GB2312" w:cs="仿宋_GB2312"/>
        </w:rPr>
        <w:t>年</w:t>
      </w:r>
      <w:r>
        <w:rPr>
          <w:rFonts w:ascii="仿宋_GB2312" w:hAnsi="仿宋_GB2312" w:cs="仿宋_GB2312"/>
        </w:rPr>
        <w:t>6</w:t>
      </w:r>
      <w:r>
        <w:rPr>
          <w:rFonts w:hint="eastAsia" w:ascii="仿宋_GB2312" w:hAnsi="仿宋_GB2312" w:cs="仿宋_GB2312"/>
        </w:rPr>
        <w:t>月</w:t>
      </w:r>
      <w:r>
        <w:rPr>
          <w:rFonts w:ascii="仿宋_GB2312" w:hAnsi="仿宋_GB2312" w:cs="仿宋_GB2312"/>
        </w:rPr>
        <w:t>4</w:t>
      </w:r>
      <w:r>
        <w:rPr>
          <w:rFonts w:hint="eastAsia" w:ascii="仿宋_GB2312" w:hAnsi="仿宋_GB2312" w:cs="仿宋_GB2312"/>
        </w:rPr>
        <w:t>日由最高人民检察院第九届检察委员会第八十九次会议通过，现予公布，自</w:t>
      </w:r>
      <w:r>
        <w:rPr>
          <w:rFonts w:ascii="仿宋_GB2312" w:hAnsi="仿宋_GB2312" w:cs="仿宋_GB2312"/>
        </w:rPr>
        <w:t>2001</w:t>
      </w:r>
      <w:r>
        <w:rPr>
          <w:rFonts w:hint="eastAsia" w:ascii="仿宋_GB2312" w:hAnsi="仿宋_GB2312" w:cs="仿宋_GB2312"/>
        </w:rPr>
        <w:t>年</w:t>
      </w:r>
      <w:r>
        <w:rPr>
          <w:rFonts w:ascii="仿宋_GB2312" w:hAnsi="仿宋_GB2312" w:cs="仿宋_GB2312"/>
        </w:rPr>
        <w:t>6</w:t>
      </w:r>
      <w:r>
        <w:rPr>
          <w:rFonts w:hint="eastAsia" w:ascii="仿宋_GB2312" w:hAnsi="仿宋_GB2312" w:cs="仿宋_GB2312"/>
        </w:rPr>
        <w:t>月</w:t>
      </w:r>
      <w:r>
        <w:rPr>
          <w:rFonts w:ascii="仿宋_GB2312" w:hAnsi="仿宋_GB2312" w:cs="仿宋_GB2312"/>
        </w:rPr>
        <w:t>11</w:t>
      </w:r>
      <w:r>
        <w:rPr>
          <w:rFonts w:hint="eastAsia" w:ascii="仿宋_GB2312" w:hAnsi="仿宋_GB2312" w:cs="仿宋_GB2312"/>
        </w:rPr>
        <w:t>日起施行。</w:t>
      </w:r>
    </w:p>
    <w:p>
      <w:pPr>
        <w:ind w:firstLine="632" w:firstLineChars="200"/>
        <w:rPr>
          <w:rFonts w:hint="eastAsia" w:ascii="仿宋_GB2312" w:hAnsi="仿宋_GB2312" w:cs="仿宋_GB2312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最高人民检察院    </w:t>
      </w: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ascii="仿宋_GB2312" w:hAnsi="仿宋_GB2312" w:cs="仿宋_GB2312"/>
        </w:rPr>
        <w:t>2001</w:t>
      </w:r>
      <w:r>
        <w:rPr>
          <w:rFonts w:hint="eastAsia" w:ascii="仿宋_GB2312" w:hAnsi="仿宋_GB2312" w:cs="仿宋_GB2312"/>
        </w:rPr>
        <w:t>年</w:t>
      </w:r>
      <w:r>
        <w:rPr>
          <w:rFonts w:ascii="仿宋_GB2312" w:hAnsi="仿宋_GB2312" w:cs="仿宋_GB2312"/>
        </w:rPr>
        <w:t>6</w:t>
      </w:r>
      <w:r>
        <w:rPr>
          <w:rFonts w:hint="eastAsia" w:ascii="仿宋_GB2312" w:hAnsi="仿宋_GB2312" w:cs="仿宋_GB2312"/>
        </w:rPr>
        <w:t>月</w:t>
      </w:r>
      <w:r>
        <w:rPr>
          <w:rFonts w:ascii="仿宋_GB2312" w:hAnsi="仿宋_GB2312" w:cs="仿宋_GB2312"/>
        </w:rPr>
        <w:t>11</w:t>
      </w:r>
      <w:r>
        <w:rPr>
          <w:rFonts w:hint="eastAsia" w:ascii="仿宋_GB2312" w:hAnsi="仿宋_GB2312" w:cs="仿宋_GB2312"/>
        </w:rPr>
        <w:t xml:space="preserve">日   </w:t>
      </w:r>
      <w:r>
        <w:rPr>
          <w:rFonts w:ascii="仿宋_GB2312" w:hAnsi="仿宋_GB2312" w:cs="仿宋_GB2312"/>
        </w:rPr>
        <w:t xml:space="preserve"> </w:t>
      </w:r>
    </w:p>
    <w:p>
      <w:pPr>
        <w:rPr>
          <w:rFonts w:hint="eastAsia" w:ascii="仿宋_GB2312" w:hAnsi="仿宋_GB2312" w:cs="仿宋_GB2312"/>
          <w:color w:val="FF000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531" w:bottom="1985" w:left="1531" w:header="851" w:footer="1588" w:gutter="0"/>
          <w:cols w:space="720" w:num="1"/>
          <w:titlePg/>
          <w:docGrid w:type="linesAndChars" w:linePitch="579" w:charSpace="-849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关于构成嫖宿幼女罪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主观上是否需要具备明知要件的解释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楷体_GB2312" w:hAnsi="仿宋_GB2312" w:eastAsia="楷体_GB2312" w:cs="仿宋_GB2312"/>
        </w:rPr>
      </w:pPr>
      <w:r>
        <w:rPr>
          <w:rFonts w:hint="eastAsia" w:ascii="楷体_GB2312" w:hAnsi="仿宋_GB2312" w:eastAsia="楷体_GB2312" w:cs="仿宋_GB2312"/>
        </w:rPr>
        <w:t>（2001年6月4日最高人民检察院第九届检察委员会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仿宋_GB2312" w:eastAsia="楷体_GB2312" w:cs="仿宋_GB2312"/>
        </w:rPr>
        <w:t>第八十九次会议通过）</w:t>
      </w:r>
    </w:p>
    <w:p>
      <w:pPr>
        <w:jc w:val="center"/>
        <w:rPr>
          <w:rFonts w:hint="eastAsia" w:ascii="楷体_GB2312" w:hAnsi="楷体_GB2312" w:eastAsia="楷体_GB2312" w:cs="楷体_GB2312"/>
        </w:rPr>
      </w:pPr>
    </w:p>
    <w:p>
      <w:pPr>
        <w:jc w:val="center"/>
        <w:rPr>
          <w:rFonts w:hint="eastAsia" w:ascii="仿宋_GB2312"/>
        </w:rPr>
      </w:pPr>
      <w:r>
        <w:rPr>
          <w:rFonts w:hint="eastAsia" w:ascii="仿宋_GB2312"/>
        </w:rPr>
        <w:t>高检发释字〔2001〕3号</w:t>
      </w:r>
    </w:p>
    <w:p>
      <w:pPr>
        <w:rPr>
          <w:rFonts w:hint="eastAsia"/>
        </w:rPr>
      </w:pPr>
    </w:p>
    <w:p>
      <w:pPr>
        <w:ind w:left="0" w:leftChars="0" w:firstLine="638" w:firstLineChars="202"/>
      </w:pPr>
      <w:r>
        <w:t>为依法办理嫖宿幼女犯罪案件，对嫖宿幼女行为如何适用法律问题解释如下：</w:t>
      </w:r>
      <w:bookmarkStart w:id="0" w:name="_GoBack"/>
      <w:bookmarkEnd w:id="0"/>
    </w:p>
    <w:p>
      <w:pPr>
        <w:ind w:left="0" w:leftChars="0" w:firstLine="638" w:firstLineChars="202"/>
      </w:pPr>
      <w:r>
        <w:t>行为人知道被害人是或者可能是不满十四周岁幼女而嫖宿的，适用刑法第三百六十条第二款的规定，以嫖宿幼女罪追究刑事责任。</w:t>
      </w:r>
    </w:p>
    <w:sectPr>
      <w:footerReference r:id="rId5" w:type="default"/>
      <w:footerReference r:id="rId6" w:type="even"/>
      <w:pgSz w:w="11906" w:h="16838"/>
      <w:pgMar w:top="2098" w:right="1531" w:bottom="1985" w:left="1531" w:header="851" w:footer="1588" w:gutter="0"/>
      <w:pgNumType w:start="1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320" w:rightChars="100"/>
      <w:rPr>
        <w:rStyle w:val="13"/>
        <w:rFonts w:hint="eastAsia" w:ascii="宋体" w:hAnsi="宋体" w:eastAsia="宋体"/>
        <w:sz w:val="28"/>
      </w:rPr>
    </w:pP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 xml:space="preserve">－  </w:t>
    </w:r>
  </w:p>
  <w:p>
    <w:pPr>
      <w:pStyle w:val="7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-342" w:rightChars="-107"/>
      <w:rPr>
        <w:rStyle w:val="13"/>
        <w:rFonts w:hint="eastAsia" w:ascii="仿宋_GB2312"/>
        <w:sz w:val="28"/>
      </w:rPr>
    </w:pPr>
    <w:r>
      <w:rPr>
        <w:rStyle w:val="13"/>
        <w:rFonts w:hint="eastAsia" w:ascii="仿宋_GB2312"/>
        <w:sz w:val="28"/>
      </w:rPr>
      <w:t>　</w:t>
    </w: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hint="eastAsia"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>－</w:t>
    </w:r>
  </w:p>
  <w:p>
    <w:pPr>
      <w:pStyle w:val="7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320" w:rightChars="100"/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 xml:space="preserve">－  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IBPR06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320" w:rightChars="100"/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</w:pP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3"/>
                        <w:rFonts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 xml:space="preserve">－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-342" w:rightChars="-107"/>
                            <w:rPr>
                              <w:rStyle w:val="13"/>
                              <w:rFonts w:hint="eastAsia" w:ascii="仿宋_GB2312"/>
                              <w:sz w:val="28"/>
                            </w:rPr>
                          </w:pPr>
                          <w:r>
                            <w:rPr>
                              <w:rStyle w:val="13"/>
                              <w:rFonts w:hint="eastAsia" w:ascii="仿宋_GB2312"/>
                              <w:sz w:val="28"/>
                            </w:rPr>
                            <w:t>　</w:t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OYmcem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-342" w:rightChars="-107"/>
                      <w:rPr>
                        <w:rStyle w:val="13"/>
                        <w:rFonts w:hint="eastAsia" w:ascii="仿宋_GB2312"/>
                        <w:sz w:val="28"/>
                      </w:rPr>
                    </w:pPr>
                    <w:r>
                      <w:rPr>
                        <w:rStyle w:val="13"/>
                        <w:rFonts w:hint="eastAsia" w:ascii="仿宋_GB2312"/>
                        <w:sz w:val="28"/>
                      </w:rPr>
                      <w:t>　</w:t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0136"/>
    <w:rsid w:val="007F203C"/>
    <w:rsid w:val="00AB16EF"/>
    <w:rsid w:val="00F54DEC"/>
    <w:rsid w:val="069F3D4A"/>
    <w:rsid w:val="4B332716"/>
    <w:rsid w:val="573C5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paragraph" w:styleId="10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paragraph" w:customStyle="1" w:styleId="1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7">
    <w:name w:val="Char1"/>
    <w:basedOn w:val="1"/>
    <w:qFormat/>
    <w:uiPriority w:val="0"/>
    <w:pPr>
      <w:tabs>
        <w:tab w:val="left" w:pos="360"/>
      </w:tabs>
    </w:pPr>
  </w:style>
  <w:style w:type="paragraph" w:customStyle="1" w:styleId="18">
    <w:name w:val=" Char1 Char Char Char"/>
    <w:basedOn w:val="1"/>
    <w:qFormat/>
    <w:uiPriority w:val="0"/>
  </w:style>
  <w:style w:type="paragraph" w:customStyle="1" w:styleId="19">
    <w:name w:val="Char Char Char Char Char Char Char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3</Pages>
  <Words>264</Words>
  <Characters>281</Characters>
  <Lines>2</Lines>
  <Paragraphs>1</Paragraphs>
  <TotalTime>3</TotalTime>
  <ScaleCrop>false</ScaleCrop>
  <LinksUpToDate>false</LinksUpToDate>
  <CharactersWithSpaces>293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2017-11-01T03:03:00Z</dcterms:created>
  <dc:creator>admin</dc:creator>
  <cp:lastModifiedBy>user</cp:lastModifiedBy>
  <dcterms:modified xsi:type="dcterms:W3CDTF">2021-06-22T10:05:36Z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