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仿宋_GB2312" w:hAnsi="仿宋_GB2312" w:cs="仿宋_GB2312"/>
        </w:rPr>
      </w:pPr>
    </w:p>
    <w:p>
      <w:pPr>
        <w:ind w:firstLine="632" w:firstLineChars="200"/>
        <w:rPr>
          <w:rFonts w:hint="eastAsia" w:ascii="仿宋_GB2312" w:hAnsi="仿宋_GB2312" w:cs="仿宋_GB2312"/>
        </w:rPr>
      </w:pPr>
      <w:r>
        <w:rPr>
          <w:rFonts w:hint="eastAsia" w:ascii="仿宋_GB2312" w:hAnsi="仿宋_GB2312" w:cs="仿宋_GB2312"/>
        </w:rPr>
        <w:t>《最高人民检察院关于贪污养老、医疗等社会保险基金能否适用&lt;最高人民法院  最高人民检察院关于办理贪污贿赂刑事案件适用法律若干问题的解释&gt;第一条第二款第一项规定的批复》已于2017年7月19日由最高人民检察院第十二届检察委员会第六十七次会议通过，现予公布，自2017年8月7日起施行。</w:t>
      </w:r>
    </w:p>
    <w:p>
      <w:pPr>
        <w:ind w:firstLine="632" w:firstLineChars="200"/>
        <w:rPr>
          <w:rFonts w:hint="eastAsia" w:ascii="仿宋_GB2312" w:hAnsi="仿宋_GB2312" w:cs="仿宋_GB2312"/>
        </w:rPr>
      </w:pPr>
    </w:p>
    <w:p>
      <w:pPr>
        <w:ind w:firstLine="632" w:firstLineChars="200"/>
        <w:rPr>
          <w:rFonts w:hint="eastAsia" w:ascii="仿宋_GB2312" w:hAnsi="仿宋_GB2312" w:cs="仿宋_GB2312"/>
        </w:rPr>
      </w:pPr>
    </w:p>
    <w:p>
      <w:pPr>
        <w:wordWrap w:val="0"/>
        <w:jc w:val="right"/>
        <w:rPr>
          <w:rFonts w:hint="eastAsia" w:ascii="仿宋_GB2312" w:hAnsi="仿宋_GB2312" w:cs="仿宋_GB2312"/>
          <w:color w:val="auto"/>
          <w:highlight w:val="none"/>
          <w:lang w:eastAsia="zh-CN"/>
        </w:rPr>
      </w:pPr>
      <w:r>
        <w:rPr>
          <w:rFonts w:hint="eastAsia" w:ascii="仿宋_GB2312" w:hAnsi="仿宋_GB2312" w:cs="仿宋_GB2312"/>
          <w:color w:val="auto"/>
          <w:highlight w:val="none"/>
          <w:lang w:eastAsia="zh-CN"/>
        </w:rPr>
        <w:t>最高人民检察院</w:t>
      </w:r>
      <w:r>
        <w:rPr>
          <w:rFonts w:hint="eastAsia" w:ascii="仿宋_GB2312" w:hAnsi="仿宋_GB2312" w:cs="仿宋_GB2312"/>
          <w:color w:val="auto"/>
          <w:highlight w:val="none"/>
          <w:lang w:val="en-US" w:eastAsia="zh-CN"/>
        </w:rPr>
        <w:t xml:space="preserve">    </w:t>
      </w:r>
    </w:p>
    <w:p>
      <w:pPr>
        <w:wordWrap w:val="0"/>
        <w:jc w:val="right"/>
        <w:rPr>
          <w:rFonts w:hint="eastAsia" w:ascii="仿宋_GB2312" w:hAnsi="仿宋_GB2312" w:cs="仿宋_GB2312"/>
        </w:rPr>
      </w:pPr>
      <w:r>
        <w:rPr>
          <w:rFonts w:hint="eastAsia" w:ascii="仿宋_GB2312" w:hAnsi="仿宋_GB2312" w:cs="仿宋_GB2312"/>
        </w:rPr>
        <w:t>2017年7月26日</w:t>
      </w:r>
      <w:r>
        <w:rPr>
          <w:rFonts w:hint="eastAsia" w:ascii="仿宋_GB2312" w:hAnsi="仿宋_GB2312" w:cs="仿宋_GB2312"/>
          <w:lang w:val="en-US" w:eastAsia="zh-CN"/>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docGrid w:type="linesAndChars" w:linePitch="579" w:charSpace="-849"/>
        </w:sect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jc w:val="center"/>
        <w:rPr>
          <w:rFonts w:hint="eastAsia" w:ascii="宋体" w:hAnsi="宋体" w:eastAsia="宋体" w:cs="宋体"/>
          <w:sz w:val="44"/>
        </w:rPr>
      </w:pPr>
      <w:r>
        <w:rPr>
          <w:rFonts w:hint="eastAsia" w:ascii="宋体" w:hAnsi="宋体" w:eastAsia="宋体" w:cs="宋体"/>
          <w:sz w:val="44"/>
        </w:rPr>
        <w:t>最高人民检察院</w:t>
      </w:r>
    </w:p>
    <w:p>
      <w:pPr>
        <w:jc w:val="center"/>
        <w:rPr>
          <w:rFonts w:hint="eastAsia" w:ascii="宋体" w:hAnsi="宋体" w:eastAsia="宋体" w:cs="宋体"/>
          <w:sz w:val="44"/>
        </w:rPr>
      </w:pPr>
      <w:r>
        <w:rPr>
          <w:rFonts w:hint="eastAsia" w:ascii="宋体" w:hAnsi="宋体" w:eastAsia="宋体" w:cs="宋体"/>
          <w:sz w:val="44"/>
        </w:rPr>
        <w:t>关于贪污养老、医疗等社会保险基金能否适用《最高人民法院  最高人民检察院关于办理</w:t>
      </w:r>
    </w:p>
    <w:p>
      <w:pPr>
        <w:jc w:val="center"/>
        <w:rPr>
          <w:rFonts w:hint="eastAsia" w:ascii="宋体" w:hAnsi="宋体" w:eastAsia="宋体" w:cs="宋体"/>
          <w:sz w:val="44"/>
        </w:rPr>
      </w:pPr>
      <w:r>
        <w:rPr>
          <w:rFonts w:hint="eastAsia" w:ascii="宋体" w:hAnsi="宋体" w:eastAsia="宋体" w:cs="宋体"/>
          <w:sz w:val="44"/>
        </w:rPr>
        <w:t>贪污贿赂刑事案件适用法律若干问题的解释》第一条第二款第一项规定的批复</w:t>
      </w:r>
    </w:p>
    <w:p>
      <w:pPr>
        <w:jc w:val="center"/>
        <w:rPr>
          <w:rFonts w:hint="eastAsia" w:asciiTheme="minorEastAsia" w:hAnsiTheme="minorEastAsia" w:eastAsiaTheme="minorEastAsia" w:cstheme="minorEastAsia"/>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（2017年7月19日最高人民检察院第十二届检察委员会</w:t>
      </w: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第六十七次会议通过）</w:t>
      </w:r>
    </w:p>
    <w:p>
      <w:pPr>
        <w:jc w:val="center"/>
        <w:rPr>
          <w:rFonts w:hint="eastAsia" w:asciiTheme="minorEastAsia" w:hAnsiTheme="minorEastAsia" w:eastAsiaTheme="minorEastAsia" w:cstheme="minorEastAsia"/>
          <w:color w:val="auto"/>
          <w:highlight w:val="none"/>
        </w:rPr>
      </w:pPr>
    </w:p>
    <w:p>
      <w:pPr>
        <w:jc w:val="center"/>
        <w:rPr>
          <w:rFonts w:hint="eastAsia" w:ascii="仿宋_GB2312" w:hAnsi="楷体_GB2312" w:cs="楷体_GB2312"/>
        </w:rPr>
      </w:pPr>
      <w:r>
        <w:rPr>
          <w:rFonts w:hint="eastAsia" w:ascii="仿宋_GB2312" w:hAnsi="楷体_GB2312" w:cs="楷体_GB2312"/>
        </w:rPr>
        <w:t>高检发释字〔2017〕1号</w:t>
      </w:r>
    </w:p>
    <w:p>
      <w:pPr>
        <w:rPr>
          <w:rFonts w:hint="eastAsia"/>
        </w:rPr>
      </w:pPr>
    </w:p>
    <w:p>
      <w:pPr>
        <w:ind w:firstLine="632" w:firstLineChars="200"/>
        <w:rPr>
          <w:rFonts w:hint="eastAsia"/>
        </w:rPr>
      </w:pPr>
      <w:r>
        <w:rPr>
          <w:rFonts w:hint="eastAsia"/>
        </w:rPr>
        <w:t>各省、自治区、直辖市人民检察院，</w:t>
      </w:r>
      <w:r>
        <w:t>解放军</w:t>
      </w:r>
      <w:r>
        <w:rPr>
          <w:rFonts w:hint="eastAsia"/>
        </w:rPr>
        <w:t>军事检察院，新疆生产建设兵团人民检察院</w:t>
      </w:r>
      <w:r>
        <w:t>：</w:t>
      </w:r>
    </w:p>
    <w:p>
      <w:pPr>
        <w:ind w:firstLine="632" w:firstLineChars="200"/>
        <w:rPr>
          <w:rFonts w:hint="eastAsia"/>
        </w:rPr>
      </w:pPr>
      <w:r>
        <w:rPr>
          <w:rFonts w:hint="eastAsia"/>
        </w:rPr>
        <w:t>近来，一些地方人民检察院就贪污养老、医疗等社会保险基金能否适用《最高人民法院、最高人民检察院关于办理贪污贿赂刑事案件适用法律若干问题的解释》第一条第二款第一项规定请示我院。经研究，批复如下：</w:t>
      </w:r>
    </w:p>
    <w:p>
      <w:pPr>
        <w:ind w:firstLine="632" w:firstLineChars="200"/>
      </w:pPr>
      <w:r>
        <w:rPr>
          <w:rFonts w:hint="eastAsia"/>
        </w:rPr>
        <w:t>养老、医疗、工伤、失业、生育等社会保险基金</w:t>
      </w:r>
      <w:r>
        <w:t>可以</w:t>
      </w:r>
      <w:r>
        <w:rPr>
          <w:rFonts w:hint="eastAsia"/>
        </w:rPr>
        <w:t>认定为</w:t>
      </w:r>
      <w:r>
        <w:t>《最高人民法院</w:t>
      </w:r>
      <w:r>
        <w:rPr>
          <w:rFonts w:hint="eastAsia"/>
        </w:rPr>
        <w:t>、</w:t>
      </w:r>
      <w:r>
        <w:t>最高人民检察院关于办理贪污贿赂刑事案件适用法律若干问题的解释》第一条第二款第一项规定的</w:t>
      </w:r>
      <w:r>
        <w:rPr>
          <w:rFonts w:hint="eastAsia"/>
        </w:rPr>
        <w:t>“</w:t>
      </w:r>
      <w:r>
        <w:t>特定款物</w:t>
      </w:r>
      <w:r>
        <w:rPr>
          <w:rFonts w:hint="eastAsia"/>
        </w:rPr>
        <w:t>”</w:t>
      </w:r>
      <w:r>
        <w:t>。</w:t>
      </w:r>
    </w:p>
    <w:p>
      <w:pPr>
        <w:ind w:firstLine="632" w:firstLineChars="200"/>
        <w:rPr>
          <w:rFonts w:hint="eastAsia"/>
        </w:rPr>
      </w:pPr>
      <w:r>
        <w:rPr>
          <w:rFonts w:hint="eastAsia"/>
        </w:rPr>
        <w:t>根据刑法和有关司法解释规定，贪污罪和挪用公款罪中的“特定款物”的范围有所不同，实践中应注意区分，依法适用。</w:t>
      </w:r>
    </w:p>
    <w:p>
      <w:pPr>
        <w:ind w:firstLine="632" w:firstLineChars="200"/>
        <w:rPr>
          <w:rFonts w:hint="eastAsia"/>
        </w:rPr>
      </w:pPr>
      <w:r>
        <w:rPr>
          <w:rFonts w:hint="eastAsia"/>
        </w:rPr>
        <w:t>此复。</w:t>
      </w:r>
    </w:p>
    <w:p>
      <w:pPr>
        <w:ind w:firstLine="632" w:firstLineChars="200"/>
        <w:rPr>
          <w:rFonts w:hint="eastAsia"/>
        </w:rPr>
      </w:pPr>
    </w:p>
    <w:p>
      <w:pPr>
        <w:ind w:firstLine="632" w:firstLineChars="200"/>
        <w:rPr>
          <w:rFonts w:hint="eastAsia"/>
        </w:rPr>
      </w:pPr>
    </w:p>
    <w:p>
      <w:pPr>
        <w:ind w:firstLine="632" w:firstLineChars="200"/>
        <w:rPr>
          <w:rFonts w:hint="eastAsia" w:ascii="仿宋_GB2312" w:hAnsi="仿宋_GB2312" w:cs="仿宋_GB2312"/>
        </w:rPr>
      </w:pPr>
    </w:p>
    <w:p>
      <w:pPr>
        <w:wordWrap w:val="0"/>
        <w:jc w:val="right"/>
        <w:rPr>
          <w:rFonts w:hint="eastAsia" w:ascii="仿宋_GB2312" w:hAnsi="仿宋_GB2312" w:cs="仿宋_GB2312"/>
          <w:color w:val="auto"/>
          <w:highlight w:val="none"/>
          <w:lang w:eastAsia="zh-CN"/>
        </w:rPr>
      </w:pPr>
      <w:r>
        <w:rPr>
          <w:rFonts w:hint="eastAsia" w:ascii="仿宋_GB2312" w:hAnsi="仿宋_GB2312" w:cs="仿宋_GB2312"/>
          <w:color w:val="auto"/>
          <w:highlight w:val="none"/>
          <w:lang w:eastAsia="zh-CN"/>
        </w:rPr>
        <w:t>最高人民检察院</w:t>
      </w:r>
      <w:r>
        <w:rPr>
          <w:rFonts w:hint="eastAsia" w:ascii="仿宋_GB2312" w:hAnsi="仿宋_GB2312" w:cs="仿宋_GB2312"/>
          <w:color w:val="auto"/>
          <w:highlight w:val="none"/>
          <w:lang w:val="en-US" w:eastAsia="zh-CN"/>
        </w:rPr>
        <w:t xml:space="preserve">    </w:t>
      </w:r>
    </w:p>
    <w:p>
      <w:pPr>
        <w:wordWrap w:val="0"/>
        <w:jc w:val="right"/>
        <w:rPr>
          <w:rFonts w:hint="eastAsia" w:ascii="仿宋_GB2312" w:hAnsi="仿宋_GB2312" w:cs="仿宋_GB2312"/>
        </w:rPr>
      </w:pPr>
      <w:r>
        <w:rPr>
          <w:rFonts w:hint="eastAsia" w:ascii="仿宋_GB2312" w:hAnsi="仿宋_GB2312" w:cs="仿宋_GB2312"/>
        </w:rPr>
        <w:t>2017年7月26日</w:t>
      </w:r>
      <w:r>
        <w:rPr>
          <w:rFonts w:hint="eastAsia" w:ascii="仿宋_GB2312" w:hAnsi="仿宋_GB2312" w:cs="仿宋_GB2312"/>
          <w:lang w:val="en-US" w:eastAsia="zh-CN"/>
        </w:rPr>
        <w:t xml:space="preserve">    </w:t>
      </w:r>
    </w:p>
    <w:p>
      <w:pPr>
        <w:ind w:firstLine="632" w:firstLineChars="200"/>
        <w:rPr>
          <w:rFonts w:hint="eastAsia"/>
        </w:rPr>
      </w:pPr>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2</w:t>
                          </w:r>
                          <w:r>
                            <w:rPr>
                              <w:rFonts w:hint="eastAsia" w:ascii="宋体" w:hAnsi="宋体" w:eastAsia="宋体"/>
                              <w:sz w:val="28"/>
                            </w:rPr>
                            <w:fldChar w:fldCharType="end"/>
                          </w:r>
                          <w:r>
                            <w:rPr>
                              <w:rStyle w:val="12"/>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2</w:t>
                    </w:r>
                    <w:r>
                      <w:rPr>
                        <w:rFonts w:hint="eastAsia" w:ascii="宋体" w:hAnsi="宋体" w:eastAsia="宋体"/>
                        <w:sz w:val="28"/>
                      </w:rPr>
                      <w:fldChar w:fldCharType="end"/>
                    </w:r>
                    <w:r>
                      <w:rPr>
                        <w:rStyle w:val="12"/>
                        <w:rFonts w:hint="eastAsia" w:ascii="宋体" w:hAnsi="宋体" w:eastAsia="宋体"/>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0B029A"/>
    <w:rsid w:val="08257B10"/>
    <w:rsid w:val="098D0431"/>
    <w:rsid w:val="0AAC7041"/>
    <w:rsid w:val="0E4B3140"/>
    <w:rsid w:val="0FEF6EFF"/>
    <w:rsid w:val="10407585"/>
    <w:rsid w:val="1B2C06C9"/>
    <w:rsid w:val="2A0620FB"/>
    <w:rsid w:val="2E920046"/>
    <w:rsid w:val="48201307"/>
    <w:rsid w:val="5D9A01C5"/>
    <w:rsid w:val="7F7DE9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1">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character" w:styleId="12">
    <w:name w:val="page number"/>
    <w:basedOn w:val="11"/>
    <w:qFormat/>
    <w:uiPriority w:val="0"/>
  </w:style>
  <w:style w:type="paragraph" w:customStyle="1" w:styleId="13">
    <w:name w:val="default paragraph font Char"/>
    <w:basedOn w:val="1"/>
    <w:qFormat/>
    <w:uiPriority w:val="0"/>
    <w:pPr>
      <w:spacing w:line="240" w:lineRule="atLeast"/>
      <w:ind w:left="420" w:firstLine="420"/>
    </w:pPr>
  </w:style>
  <w:style w:type="paragraph" w:customStyle="1" w:styleId="14">
    <w:name w:val="Char Char Char Char Char Char Char"/>
    <w:basedOn w:val="1"/>
    <w:qFormat/>
    <w:uiPriority w:val="0"/>
    <w:pPr>
      <w:ind w:firstLine="200" w:firstLineChars="200"/>
    </w:pPr>
  </w:style>
  <w:style w:type="paragraph" w:customStyle="1" w:styleId="15">
    <w:name w:val=" Char1 Char Char Char"/>
    <w:basedOn w:val="1"/>
    <w:qFormat/>
    <w:uiPriority w:val="0"/>
  </w:style>
  <w:style w:type="paragraph" w:customStyle="1" w:styleId="16">
    <w:name w:val="Char1"/>
    <w:basedOn w:val="1"/>
    <w:qFormat/>
    <w:uiPriority w:val="0"/>
    <w:pPr>
      <w:tabs>
        <w:tab w:val="left" w:pos="360"/>
      </w:tabs>
    </w:pPr>
  </w:style>
  <w:style w:type="paragraph" w:customStyle="1" w:styleId="17">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4</Pages>
  <Words>570</Words>
  <Characters>592</Characters>
  <Lines>5</Lines>
  <Paragraphs>1</Paragraphs>
  <TotalTime>0</TotalTime>
  <ScaleCrop>false</ScaleCrop>
  <LinksUpToDate>false</LinksUpToDate>
  <CharactersWithSpaces>616</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2017-10-31T19:03:00Z</dcterms:created>
  <dc:creator>admin</dc:creator>
  <cp:lastModifiedBy>user</cp:lastModifiedBy>
  <dcterms:modified xsi:type="dcterms:W3CDTF">2021-06-22T11:04:43Z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