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bookmarkStart w:id="0" w:name="_GoBack"/>
      <w:bookmarkEnd w:id="0"/>
    </w:p>
    <w:p>
      <w:pPr>
        <w:pStyle w:val="13"/>
        <w:rPr>
          <w:rFonts w:hint="eastAsia" w:ascii="宋体" w:hAnsi="宋体" w:eastAsia="宋体" w:cs="宋体"/>
        </w:rPr>
      </w:pPr>
    </w:p>
    <w:p>
      <w:pPr>
        <w:pStyle w:val="8"/>
        <w:rPr>
          <w:rFonts w:hint="eastAsia"/>
        </w:rPr>
      </w:pPr>
      <w:r>
        <w:t>最高人民法院</w:t>
      </w:r>
      <w:r>
        <w:rPr>
          <w:rFonts w:hint="eastAsia"/>
          <w:lang w:val="en-US" w:eastAsia="zh-CN"/>
        </w:rPr>
        <w:t xml:space="preserve">    </w:t>
      </w:r>
      <w:r>
        <w:t>国务院宗教事务局</w:t>
      </w:r>
    </w:p>
    <w:p>
      <w:pPr>
        <w:pStyle w:val="8"/>
        <w:rPr>
          <w:rFonts w:hint="eastAsia"/>
        </w:rPr>
      </w:pPr>
      <w:r>
        <w:t>关于寺庙、道观房屋产权归属问题的复函</w:t>
      </w:r>
    </w:p>
    <w:p>
      <w:pPr>
        <w:pStyle w:val="13"/>
        <w:rPr>
          <w:rFonts w:hint="eastAsia" w:ascii="宋体" w:hAnsi="宋体" w:eastAsia="宋体" w:cs="宋体"/>
        </w:rPr>
      </w:pPr>
    </w:p>
    <w:tbl>
      <w:tblPr>
        <w:tblStyle w:val="6"/>
        <w:tblW w:w="884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86"/>
        <w:gridCol w:w="737"/>
        <w:gridCol w:w="4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jc w:val="center"/>
        </w:trPr>
        <w:tc>
          <w:tcPr>
            <w:tcW w:w="4086" w:type="dxa"/>
            <w:tcBorders>
              <w:tl2br w:val="nil"/>
              <w:tr2bl w:val="nil"/>
            </w:tcBorders>
            <w:vAlign w:val="center"/>
          </w:tcPr>
          <w:p>
            <w:pPr>
              <w:pStyle w:val="23"/>
              <w:keepNext w:val="0"/>
              <w:keepLines w:val="0"/>
              <w:pageBreakBefore w:val="0"/>
              <w:widowControl w:val="0"/>
              <w:kinsoku/>
              <w:wordWrap w:val="0"/>
              <w:overflowPunct/>
              <w:topLinePunct w:val="0"/>
              <w:autoSpaceDE/>
              <w:autoSpaceDN/>
              <w:bidi w:val="0"/>
              <w:adjustRightInd/>
              <w:snapToGrid/>
              <w:spacing w:line="560" w:lineRule="exact"/>
              <w:ind w:left="0" w:leftChars="0" w:right="0" w:rightChars="0" w:firstLine="0" w:firstLineChars="0"/>
              <w:jc w:val="right"/>
              <w:textAlignment w:val="auto"/>
              <w:outlineLvl w:val="9"/>
              <w:rPr>
                <w:rFonts w:hint="eastAsia"/>
                <w:vertAlign w:val="baseline"/>
              </w:rPr>
            </w:pPr>
            <w:r>
              <w:rPr>
                <w:rFonts w:hint="eastAsia"/>
              </w:rPr>
              <w:t>1981</w:t>
            </w:r>
            <w:r>
              <w:t>年1月27日</w:t>
            </w:r>
          </w:p>
        </w:tc>
        <w:tc>
          <w:tcPr>
            <w:tcW w:w="737" w:type="dxa"/>
            <w:tcBorders>
              <w:tl2br w:val="nil"/>
              <w:tr2bl w:val="nil"/>
            </w:tcBorders>
            <w:vAlign w:val="top"/>
          </w:tcPr>
          <w:p>
            <w:pPr>
              <w:pStyle w:val="13"/>
              <w:rPr>
                <w:rFonts w:hint="eastAsia"/>
                <w:vertAlign w:val="baseline"/>
              </w:rPr>
            </w:pPr>
          </w:p>
        </w:tc>
        <w:tc>
          <w:tcPr>
            <w:tcW w:w="4021" w:type="dxa"/>
            <w:tcBorders>
              <w:tl2br w:val="nil"/>
              <w:tr2bl w:val="nil"/>
            </w:tcBorders>
            <w:vAlign w:val="top"/>
          </w:tcPr>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r>
              <w:rPr>
                <w:rFonts w:hint="eastAsia"/>
              </w:rPr>
              <w:t>〔81〕法民字第2号</w:t>
            </w:r>
          </w:p>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r>
              <w:rPr>
                <w:rFonts w:hint="eastAsia"/>
              </w:rPr>
              <w:t>〔81〕宗发字第16号</w:t>
            </w:r>
          </w:p>
        </w:tc>
      </w:tr>
    </w:tbl>
    <w:p>
      <w:pPr>
        <w:pStyle w:val="13"/>
        <w:rPr>
          <w:rFonts w:hint="eastAsia" w:ascii="宋体" w:hAnsi="宋体" w:eastAsia="宋体" w:cs="宋体"/>
        </w:rPr>
      </w:pPr>
    </w:p>
    <w:p>
      <w:pPr>
        <w:pStyle w:val="22"/>
        <w:rPr>
          <w:rFonts w:hint="eastAsia"/>
        </w:rPr>
      </w:pPr>
      <w:r>
        <w:t>上海市高级人民法院、上海市宗教事务局：</w:t>
      </w:r>
    </w:p>
    <w:p>
      <w:pPr>
        <w:pStyle w:val="13"/>
        <w:rPr>
          <w:rFonts w:hint="eastAsia"/>
        </w:rPr>
      </w:pPr>
      <w:r>
        <w:rPr>
          <w:rFonts w:hint="eastAsia"/>
        </w:rPr>
        <w:t>1980</w:t>
      </w:r>
      <w:r>
        <w:t>年11月11日〔80〕沪高法民字第441号、沪宗请字〔80〕第41号请示报告收悉。关于寺庙、道观等房屋产权归属问题</w:t>
      </w:r>
      <w:r>
        <w:rPr>
          <w:rFonts w:hint="eastAsia"/>
        </w:rPr>
        <w:t>，</w:t>
      </w:r>
      <w:r>
        <w:t>经研究</w:t>
      </w:r>
      <w:r>
        <w:rPr>
          <w:rFonts w:hint="eastAsia"/>
        </w:rPr>
        <w:t>，</w:t>
      </w:r>
      <w:r>
        <w:t>原则上同意请示报告所提的处理意见。鉴于这类房屋产权纠纷的情况比较复杂</w:t>
      </w:r>
      <w:r>
        <w:rPr>
          <w:rFonts w:hint="eastAsia"/>
        </w:rPr>
        <w:t>，</w:t>
      </w:r>
      <w:r>
        <w:t>在处理时</w:t>
      </w:r>
      <w:r>
        <w:rPr>
          <w:rFonts w:hint="eastAsia"/>
        </w:rPr>
        <w:t>，</w:t>
      </w:r>
      <w:r>
        <w:t>一定要认真执行宗教政策</w:t>
      </w:r>
      <w:r>
        <w:rPr>
          <w:rFonts w:hint="eastAsia"/>
        </w:rPr>
        <w:t>，</w:t>
      </w:r>
      <w:r>
        <w:t>妥善地处理好公私关系；必要时</w:t>
      </w:r>
      <w:r>
        <w:rPr>
          <w:rFonts w:hint="eastAsia"/>
        </w:rPr>
        <w:t>，</w:t>
      </w:r>
      <w:r>
        <w:t>应征求当地政府及有关部门的意见</w:t>
      </w:r>
      <w:r>
        <w:rPr>
          <w:rFonts w:hint="eastAsia"/>
        </w:rPr>
        <w:t>，共同做好工作。</w:t>
      </w:r>
    </w:p>
    <w:p>
      <w:pPr>
        <w:pStyle w:val="13"/>
        <w:rPr>
          <w:rFonts w:hint="eastAsia"/>
        </w:rPr>
      </w:pPr>
      <w:r>
        <w:rPr>
          <w:rFonts w:hint="eastAsia"/>
        </w:rPr>
        <w:t>此复。</w:t>
      </w:r>
    </w:p>
    <w:p>
      <w:pPr>
        <w:pStyle w:val="13"/>
        <w:rPr>
          <w:rFonts w:hint="eastAsia"/>
        </w:rPr>
      </w:pPr>
      <w:r>
        <w:rPr>
          <w:rFonts w:hint="eastAsia"/>
        </w:rPr>
        <w:br w:type="page"/>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上海市高级人民法院</w:t>
      </w:r>
      <w:r>
        <w:rPr>
          <w:rFonts w:hint="eastAsia"/>
          <w:lang w:val="en-US" w:eastAsia="zh-CN"/>
        </w:rPr>
        <w:t xml:space="preserve">    </w:t>
      </w:r>
      <w:r>
        <w:t>上海市宗教事务局</w:t>
      </w:r>
    </w:p>
    <w:p>
      <w:pPr>
        <w:pStyle w:val="8"/>
      </w:pPr>
      <w:r>
        <w:t>关于寺庙、道观等房屋产权归属问题的</w:t>
      </w:r>
    </w:p>
    <w:p>
      <w:pPr>
        <w:pStyle w:val="8"/>
        <w:rPr>
          <w:rFonts w:hint="eastAsia"/>
        </w:rPr>
      </w:pPr>
      <w:r>
        <w:t>请示报告</w:t>
      </w:r>
    </w:p>
    <w:p>
      <w:pPr>
        <w:pStyle w:val="13"/>
        <w:rPr>
          <w:rFonts w:hint="eastAsia" w:ascii="宋体" w:hAnsi="宋体" w:eastAsia="宋体" w:cs="宋体"/>
        </w:rPr>
      </w:pPr>
    </w:p>
    <w:tbl>
      <w:tblPr>
        <w:tblStyle w:val="6"/>
        <w:tblW w:w="884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85"/>
        <w:gridCol w:w="975"/>
        <w:gridCol w:w="4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jc w:val="center"/>
        </w:trPr>
        <w:tc>
          <w:tcPr>
            <w:tcW w:w="2985" w:type="dxa"/>
            <w:vMerge w:val="restart"/>
            <w:tcBorders>
              <w:tl2br w:val="nil"/>
              <w:tr2bl w:val="nil"/>
            </w:tcBorders>
            <w:vAlign w:val="center"/>
          </w:tcPr>
          <w:p>
            <w:pPr>
              <w:pStyle w:val="23"/>
              <w:keepNext w:val="0"/>
              <w:keepLines w:val="0"/>
              <w:pageBreakBefore w:val="0"/>
              <w:widowControl w:val="0"/>
              <w:kinsoku/>
              <w:wordWrap w:val="0"/>
              <w:overflowPunct/>
              <w:topLinePunct w:val="0"/>
              <w:autoSpaceDE/>
              <w:autoSpaceDN/>
              <w:bidi w:val="0"/>
              <w:adjustRightInd/>
              <w:snapToGrid/>
              <w:spacing w:line="560" w:lineRule="exact"/>
              <w:ind w:left="0" w:leftChars="0" w:right="0" w:rightChars="0" w:firstLine="0" w:firstLineChars="0"/>
              <w:jc w:val="right"/>
              <w:textAlignment w:val="auto"/>
              <w:outlineLvl w:val="9"/>
              <w:rPr>
                <w:rFonts w:hint="eastAsia"/>
                <w:vertAlign w:val="baseline"/>
              </w:rPr>
            </w:pPr>
            <w:r>
              <w:rPr>
                <w:rFonts w:hint="eastAsia"/>
              </w:rPr>
              <w:t>1980</w:t>
            </w:r>
            <w:r>
              <w:t>年11月11日</w:t>
            </w:r>
          </w:p>
        </w:tc>
        <w:tc>
          <w:tcPr>
            <w:tcW w:w="975" w:type="dxa"/>
            <w:tcBorders>
              <w:tl2br w:val="nil"/>
              <w:tr2bl w:val="nil"/>
            </w:tcBorders>
            <w:vAlign w:val="top"/>
          </w:tcPr>
          <w:p>
            <w:pPr>
              <w:pStyle w:val="13"/>
              <w:rPr>
                <w:rFonts w:hint="eastAsia"/>
                <w:vertAlign w:val="baseline"/>
              </w:rPr>
            </w:pPr>
          </w:p>
        </w:tc>
        <w:tc>
          <w:tcPr>
            <w:tcW w:w="4884" w:type="dxa"/>
            <w:vMerge w:val="restart"/>
            <w:tcBorders>
              <w:tl2br w:val="nil"/>
              <w:tr2bl w:val="nil"/>
            </w:tcBorders>
            <w:vAlign w:val="top"/>
          </w:tcPr>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r>
              <w:rPr>
                <w:rFonts w:hint="eastAsia"/>
              </w:rPr>
              <w:t>〔80〕沪高法民字第44号</w:t>
            </w:r>
          </w:p>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r>
              <w:rPr>
                <w:rFonts w:hint="eastAsia"/>
              </w:rPr>
              <w:t>〔80〕沪宗清字第41号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jc w:val="center"/>
        </w:trPr>
        <w:tc>
          <w:tcPr>
            <w:tcW w:w="2985" w:type="dxa"/>
            <w:vMerge w:val="continue"/>
            <w:tcBorders>
              <w:tl2br w:val="nil"/>
              <w:tr2bl w:val="nil"/>
            </w:tcBorders>
            <w:vAlign w:val="center"/>
          </w:tcPr>
          <w:p>
            <w:pPr>
              <w:pStyle w:val="23"/>
              <w:keepNext w:val="0"/>
              <w:keepLines w:val="0"/>
              <w:pageBreakBefore w:val="0"/>
              <w:widowControl w:val="0"/>
              <w:kinsoku/>
              <w:wordWrap w:val="0"/>
              <w:overflowPunct/>
              <w:topLinePunct w:val="0"/>
              <w:autoSpaceDE/>
              <w:autoSpaceDN/>
              <w:bidi w:val="0"/>
              <w:adjustRightInd/>
              <w:snapToGrid/>
              <w:spacing w:line="560" w:lineRule="exact"/>
              <w:ind w:left="0" w:leftChars="0" w:right="0" w:rightChars="0" w:firstLine="0" w:firstLineChars="0"/>
              <w:jc w:val="right"/>
              <w:textAlignment w:val="auto"/>
              <w:outlineLvl w:val="9"/>
              <w:rPr>
                <w:rFonts w:hint="eastAsia"/>
                <w:vertAlign w:val="baseline"/>
              </w:rPr>
            </w:pPr>
          </w:p>
        </w:tc>
        <w:tc>
          <w:tcPr>
            <w:tcW w:w="975" w:type="dxa"/>
            <w:tcBorders>
              <w:tl2br w:val="nil"/>
              <w:tr2bl w:val="nil"/>
            </w:tcBorders>
            <w:vAlign w:val="top"/>
          </w:tcPr>
          <w:p>
            <w:pPr>
              <w:pStyle w:val="13"/>
              <w:rPr>
                <w:rFonts w:hint="eastAsia"/>
                <w:vertAlign w:val="baseline"/>
              </w:rPr>
            </w:pPr>
          </w:p>
        </w:tc>
        <w:tc>
          <w:tcPr>
            <w:tcW w:w="4884" w:type="dxa"/>
            <w:vMerge w:val="continue"/>
            <w:tcBorders>
              <w:tl2br w:val="nil"/>
              <w:tr2bl w:val="nil"/>
            </w:tcBorders>
            <w:vAlign w:val="top"/>
          </w:tcPr>
          <w:p>
            <w:pPr>
              <w:pStyle w:val="23"/>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rPr>
            </w:pPr>
          </w:p>
        </w:tc>
      </w:tr>
    </w:tbl>
    <w:p>
      <w:pPr>
        <w:pStyle w:val="13"/>
        <w:rPr>
          <w:rFonts w:hint="eastAsia" w:ascii="宋体" w:hAnsi="宋体" w:eastAsia="宋体" w:cs="宋体"/>
        </w:rPr>
      </w:pPr>
    </w:p>
    <w:p>
      <w:pPr>
        <w:pStyle w:val="22"/>
        <w:rPr>
          <w:rFonts w:hint="eastAsia"/>
        </w:rPr>
      </w:pPr>
      <w:r>
        <w:t>最高人民法院、国务院宗教事务局：</w:t>
      </w:r>
    </w:p>
    <w:p>
      <w:pPr>
        <w:pStyle w:val="13"/>
        <w:rPr>
          <w:rStyle w:val="26"/>
          <w:rFonts w:hint="eastAsia"/>
        </w:rPr>
      </w:pPr>
      <w:r>
        <w:t>最近期间</w:t>
      </w:r>
      <w:r>
        <w:rPr>
          <w:rFonts w:hint="eastAsia"/>
        </w:rPr>
        <w:t>，</w:t>
      </w:r>
      <w:r>
        <w:t>本市郊县陆续发生有关寺庙、道观房屋产权归属纠纷</w:t>
      </w:r>
      <w:r>
        <w:rPr>
          <w:rFonts w:hint="eastAsia"/>
        </w:rPr>
        <w:t>，</w:t>
      </w:r>
      <w:r>
        <w:t>要求人民法院</w:t>
      </w:r>
      <w:r>
        <w:rPr>
          <w:rFonts w:hint="eastAsia"/>
        </w:rPr>
        <w:t>处理。据了解，这些寺庙、道观一般都早已停止宗教活动。房屋在城镇的，一般由转业僧、尼、道士及其家属居住；在农村的，都已由该寺庙、道观的转业僧、尼、道士于土改时集体或个人登记取得房屋所有权凭证。目前有些转业僧、尼、道士因死亡、出嫁或下落不明，部分继续居住的僧、尼、道士要求房屋所有权全部归其所有；有些则是转业僧、尼、道士的子女要求继承房屋产权；有些则因生产建设需要对居住的转业僧、尼、道士或其家属动迁而发生纠纷。正确处理这类纠纷，关系到党的宗教政策的贯彻落实，关系到维护土改成果及保障这些人正当权益的问题。经与市宗教事务局研究，特提出如下处理意见：</w:t>
      </w:r>
    </w:p>
    <w:p>
      <w:pPr>
        <w:pStyle w:val="13"/>
        <w:rPr>
          <w:rStyle w:val="26"/>
          <w:rFonts w:hint="eastAsia"/>
        </w:rPr>
      </w:pPr>
      <w:r>
        <w:rPr>
          <w:rStyle w:val="26"/>
        </w:rPr>
        <w:t>一、</w:t>
      </w:r>
      <w:r>
        <w:t>本市寺庙、道观不论当前是否进行宗教活动</w:t>
      </w:r>
      <w:r>
        <w:rPr>
          <w:rFonts w:hint="eastAsia"/>
        </w:rPr>
        <w:t>，</w:t>
      </w:r>
      <w:r>
        <w:t>其房屋大都是由群众捐献而建造。因此除个别确系私人出资修建或购置的小庙</w:t>
      </w:r>
      <w:r>
        <w:rPr>
          <w:rFonts w:hint="eastAsia"/>
        </w:rPr>
        <w:t>，</w:t>
      </w:r>
      <w:r>
        <w:t>仍可归私人所有外</w:t>
      </w:r>
      <w:r>
        <w:rPr>
          <w:rFonts w:hint="eastAsia"/>
        </w:rPr>
        <w:t>，</w:t>
      </w:r>
      <w:r>
        <w:t>其他房屋的性质均应属公共财产</w:t>
      </w:r>
      <w:r>
        <w:rPr>
          <w:rFonts w:hint="eastAsia"/>
        </w:rPr>
        <w:t>，</w:t>
      </w:r>
      <w:r>
        <w:t>其产权归宗教团体市佛教协会与市道教协会所有。僧、尼、道士一般有使用权</w:t>
      </w:r>
      <w:r>
        <w:rPr>
          <w:rFonts w:hint="eastAsia"/>
        </w:rPr>
        <w:t>，</w:t>
      </w:r>
      <w:r>
        <w:t>但均无权出卖、抵押或相互赠送。任何使用、占用单位或其他机关团体都不能任意改变其所有权</w:t>
      </w:r>
      <w:r>
        <w:rPr>
          <w:rFonts w:hint="eastAsia"/>
        </w:rPr>
        <w:t>，</w:t>
      </w:r>
      <w:r>
        <w:t>并应按照中共中央国务院中发〔1980〕22号及国发〔1980〕188号文件精神落实政策</w:t>
      </w:r>
      <w:r>
        <w:rPr>
          <w:rFonts w:hint="eastAsia"/>
        </w:rPr>
        <w:t>，</w:t>
      </w:r>
      <w:r>
        <w:t>产权归还各宗教团体。</w:t>
      </w:r>
    </w:p>
    <w:p>
      <w:pPr>
        <w:pStyle w:val="13"/>
        <w:rPr>
          <w:rFonts w:hint="eastAsia"/>
        </w:rPr>
      </w:pPr>
      <w:r>
        <w:rPr>
          <w:rStyle w:val="26"/>
        </w:rPr>
        <w:t>二</w:t>
      </w:r>
      <w:r>
        <w:rPr>
          <w:rStyle w:val="26"/>
          <w:rFonts w:hint="eastAsia"/>
        </w:rPr>
        <w:t>、</w:t>
      </w:r>
      <w:r>
        <w:t>在农村中的寺庙、道观</w:t>
      </w:r>
      <w:r>
        <w:rPr>
          <w:rFonts w:hint="eastAsia"/>
        </w:rPr>
        <w:t>，</w:t>
      </w:r>
      <w:r>
        <w:t>土改中虽由僧、尼、道士个人或集体进行登记并取得房屋所有权证</w:t>
      </w:r>
      <w:r>
        <w:rPr>
          <w:rFonts w:hint="eastAsia"/>
        </w:rPr>
        <w:t>，</w:t>
      </w:r>
      <w:r>
        <w:t>但应根据具体情况分别对待：即土改前</w:t>
      </w:r>
      <w:r>
        <w:rPr>
          <w:rFonts w:hint="eastAsia"/>
          <w:lang w:eastAsia="zh-CN"/>
        </w:rPr>
        <w:t>（</w:t>
      </w:r>
      <w:r>
        <w:t>或土改时</w:t>
      </w:r>
      <w:r>
        <w:rPr>
          <w:rFonts w:hint="eastAsia"/>
          <w:lang w:eastAsia="zh-CN"/>
        </w:rPr>
        <w:t>）</w:t>
      </w:r>
      <w:r>
        <w:t>有些寺庙、道观已停止宗教活动</w:t>
      </w:r>
      <w:r>
        <w:rPr>
          <w:rFonts w:hint="eastAsia"/>
        </w:rPr>
        <w:t>，</w:t>
      </w:r>
      <w:r>
        <w:t>其僧、尼、道士也已转业还俗</w:t>
      </w:r>
      <w:r>
        <w:rPr>
          <w:rFonts w:hint="eastAsia"/>
        </w:rPr>
        <w:t>，</w:t>
      </w:r>
      <w:r>
        <w:t>就不再属于寺庙道观的范围。但根据土地改革法第十三条第五项规定</w:t>
      </w:r>
      <w:r>
        <w:rPr>
          <w:rFonts w:hint="eastAsia"/>
        </w:rPr>
        <w:t>，</w:t>
      </w:r>
      <w:r>
        <w:t>房屋由这些僧、尼、道士登记的</w:t>
      </w:r>
      <w:r>
        <w:rPr>
          <w:rFonts w:hint="eastAsia"/>
        </w:rPr>
        <w:t>，</w:t>
      </w:r>
      <w:r>
        <w:t>其房屋产权可分别归原登记者个人所有</w:t>
      </w:r>
      <w:r>
        <w:rPr>
          <w:rFonts w:hint="eastAsia"/>
        </w:rPr>
        <w:t>，</w:t>
      </w:r>
      <w:r>
        <w:t>其法定继承人准予继承。</w:t>
      </w:r>
    </w:p>
    <w:p>
      <w:pPr>
        <w:pStyle w:val="13"/>
        <w:rPr>
          <w:rStyle w:val="26"/>
          <w:rFonts w:hint="eastAsia"/>
        </w:rPr>
      </w:pPr>
      <w:r>
        <w:t>土改时</w:t>
      </w:r>
      <w:r>
        <w:rPr>
          <w:rFonts w:hint="eastAsia"/>
        </w:rPr>
        <w:t>，</w:t>
      </w:r>
      <w:r>
        <w:t>寺庙、道观仍进行宗教活动</w:t>
      </w:r>
      <w:r>
        <w:rPr>
          <w:rFonts w:hint="eastAsia"/>
        </w:rPr>
        <w:t>，</w:t>
      </w:r>
      <w:r>
        <w:t>僧、尼、道士也仍从事宗教职业的</w:t>
      </w:r>
      <w:r>
        <w:rPr>
          <w:rFonts w:hint="eastAsia"/>
        </w:rPr>
        <w:t>，</w:t>
      </w:r>
      <w:r>
        <w:t>土改中虽由僧、尼、道士出面登记并领得所有权证</w:t>
      </w:r>
      <w:r>
        <w:rPr>
          <w:rFonts w:hint="eastAsia"/>
        </w:rPr>
        <w:t>，</w:t>
      </w:r>
      <w:r>
        <w:t>但应视作僧、尼、道士以管理者身份代为登记</w:t>
      </w:r>
      <w:r>
        <w:rPr>
          <w:rFonts w:hint="eastAsia"/>
        </w:rPr>
        <w:t>，</w:t>
      </w:r>
      <w:r>
        <w:t>仍属公产</w:t>
      </w:r>
      <w:r>
        <w:rPr>
          <w:rFonts w:hint="eastAsia"/>
        </w:rPr>
        <w:t>，不能作为他们的私有财产。</w:t>
      </w:r>
    </w:p>
    <w:p>
      <w:pPr>
        <w:pStyle w:val="13"/>
        <w:rPr>
          <w:rStyle w:val="26"/>
          <w:rFonts w:hint="eastAsia"/>
        </w:rPr>
      </w:pPr>
      <w:r>
        <w:rPr>
          <w:rStyle w:val="26"/>
        </w:rPr>
        <w:t>三、</w:t>
      </w:r>
      <w:r>
        <w:t>解放后已停止宗教活动的市区及城镇寺庙、道观和土改后才停止宗教活动的农村寺庙道观</w:t>
      </w:r>
      <w:r>
        <w:rPr>
          <w:rFonts w:hint="eastAsia"/>
        </w:rPr>
        <w:t>，</w:t>
      </w:r>
      <w:r>
        <w:t>僧尼已转业的</w:t>
      </w:r>
      <w:r>
        <w:rPr>
          <w:rFonts w:hint="eastAsia"/>
        </w:rPr>
        <w:t>，</w:t>
      </w:r>
      <w:r>
        <w:t>其原住的寺庙、道观房屋可继续使用</w:t>
      </w:r>
      <w:r>
        <w:rPr>
          <w:rFonts w:hint="eastAsia"/>
        </w:rPr>
        <w:t>，</w:t>
      </w:r>
      <w:r>
        <w:t>如转业僧、尼、道士已死亡</w:t>
      </w:r>
      <w:r>
        <w:rPr>
          <w:rFonts w:hint="eastAsia"/>
        </w:rPr>
        <w:t>，</w:t>
      </w:r>
      <w:r>
        <w:t>其共同生活的家属仍可给予照顾</w:t>
      </w:r>
      <w:r>
        <w:rPr>
          <w:rFonts w:hint="eastAsia"/>
        </w:rPr>
        <w:t>，</w:t>
      </w:r>
      <w:r>
        <w:t>继续居住</w:t>
      </w:r>
      <w:r>
        <w:rPr>
          <w:rFonts w:hint="eastAsia"/>
        </w:rPr>
        <w:t>，</w:t>
      </w:r>
      <w:r>
        <w:t>但不得主张产权。</w:t>
      </w:r>
    </w:p>
    <w:p>
      <w:pPr>
        <w:pStyle w:val="13"/>
        <w:rPr>
          <w:rFonts w:hint="eastAsia"/>
        </w:rPr>
      </w:pPr>
      <w:r>
        <w:rPr>
          <w:rStyle w:val="26"/>
        </w:rPr>
        <w:t>四、</w:t>
      </w:r>
      <w:r>
        <w:t>因生产建设确需征用寺庙、道观及其房地产进行拆建改建者</w:t>
      </w:r>
      <w:r>
        <w:rPr>
          <w:rFonts w:hint="eastAsia"/>
        </w:rPr>
        <w:t>，</w:t>
      </w:r>
      <w:r>
        <w:t>需经宗教事务局批准和同意后</w:t>
      </w:r>
      <w:r>
        <w:rPr>
          <w:rFonts w:hint="eastAsia"/>
        </w:rPr>
        <w:t>，</w:t>
      </w:r>
      <w:r>
        <w:t>按照本市征用土地和拆迁房屋管理办法的规定并根据他们原有的所有权或使用权分别处理</w:t>
      </w:r>
      <w:r>
        <w:rPr>
          <w:rFonts w:hint="eastAsia"/>
        </w:rPr>
        <w:t>，</w:t>
      </w:r>
      <w:r>
        <w:t>由征用单位会同宗教工作部门及有关宗教团体直接协商</w:t>
      </w:r>
      <w:r>
        <w:rPr>
          <w:rFonts w:hint="eastAsia"/>
        </w:rPr>
        <w:t>解决。转业僧、尼、道士居住使用的寺庙、道观房屋，因年久失修有倒塌危险需要翻建的，亦应报请市宗教事务局批准并向宗教团体申请办理补偿手续。</w:t>
      </w:r>
    </w:p>
    <w:p>
      <w:pPr>
        <w:pStyle w:val="13"/>
        <w:rPr>
          <w:rFonts w:hint="eastAsia"/>
        </w:rPr>
      </w:pPr>
      <w:r>
        <w:rPr>
          <w:rFonts w:hint="eastAsia"/>
        </w:rPr>
        <w:t>以上意见，是否妥当，请予批复。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B47CF"/>
    <w:rsid w:val="00323D76"/>
    <w:rsid w:val="02380A4E"/>
    <w:rsid w:val="02C54CFB"/>
    <w:rsid w:val="042F174E"/>
    <w:rsid w:val="0751543E"/>
    <w:rsid w:val="0BE369DE"/>
    <w:rsid w:val="0F9D48A9"/>
    <w:rsid w:val="0FC66F39"/>
    <w:rsid w:val="10BB47CF"/>
    <w:rsid w:val="135B4974"/>
    <w:rsid w:val="19EF53F7"/>
    <w:rsid w:val="1C547AC8"/>
    <w:rsid w:val="20194FCD"/>
    <w:rsid w:val="211007F7"/>
    <w:rsid w:val="224D5C1E"/>
    <w:rsid w:val="28B53323"/>
    <w:rsid w:val="2A483D38"/>
    <w:rsid w:val="2A844039"/>
    <w:rsid w:val="2CFE6EE4"/>
    <w:rsid w:val="2D725F92"/>
    <w:rsid w:val="302E782D"/>
    <w:rsid w:val="303C3BD5"/>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2017-10-30T13:58:00Z</dcterms:created>
  <dc:creator>Administrator</dc:creator>
  <cp:lastModifiedBy>Administrator</cp:lastModifiedBy>
  <dcterms:modified xsi:type="dcterms:W3CDTF">2017-10-31T05:41:27Z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