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公安部</w:t>
      </w:r>
    </w:p>
    <w:p>
      <w:pPr>
        <w:pStyle w:val="7"/>
      </w:pPr>
      <w:r>
        <w:t>关于海事法院审判人员等处理海事案件</w:t>
      </w:r>
    </w:p>
    <w:p>
      <w:pPr>
        <w:pStyle w:val="7"/>
        <w:rPr>
          <w:rFonts w:hint="eastAsia"/>
        </w:rPr>
      </w:pPr>
      <w:r>
        <w:t>登外轮问题的通知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1986</w:t>
      </w:r>
      <w:r>
        <w:t>年10月25日</w:t>
      </w:r>
      <w:r>
        <w:rPr>
          <w:rFonts w:hint="eastAsia"/>
          <w:lang w:val="en-US" w:eastAsia="zh-CN"/>
        </w:rPr>
        <w:t xml:space="preserve">      </w:t>
      </w:r>
      <w:r>
        <w:t>法</w:t>
      </w:r>
      <w:r>
        <w:rPr>
          <w:rFonts w:hint="eastAsia"/>
          <w:lang w:eastAsia="zh-CN"/>
        </w:rPr>
        <w:t>（</w:t>
      </w:r>
      <w:r>
        <w:t>经</w:t>
      </w:r>
      <w:r>
        <w:rPr>
          <w:rFonts w:hint="eastAsia"/>
          <w:lang w:eastAsia="zh-CN"/>
        </w:rPr>
        <w:t>）</w:t>
      </w:r>
      <w:r>
        <w:t>发〔1986〕30号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各沿海省、自治区、直辖市高级人民法院、公安厅</w:t>
      </w:r>
      <w:r>
        <w:rPr>
          <w:rFonts w:hint="eastAsia"/>
          <w:lang w:eastAsia="zh-CN"/>
        </w:rPr>
        <w:t>（</w:t>
      </w:r>
      <w:r>
        <w:t>局</w:t>
      </w:r>
      <w:r>
        <w:rPr>
          <w:rFonts w:hint="eastAsia"/>
          <w:lang w:eastAsia="zh-CN"/>
        </w:rPr>
        <w:t>）</w:t>
      </w:r>
      <w:r>
        <w:t>：</w:t>
      </w:r>
    </w:p>
    <w:p>
      <w:pPr>
        <w:pStyle w:val="12"/>
        <w:rPr>
          <w:rStyle w:val="25"/>
          <w:rFonts w:hint="eastAsia"/>
        </w:rPr>
      </w:pPr>
      <w:r>
        <w:t>为了便于及时处理涉外海事案件</w:t>
      </w:r>
      <w:r>
        <w:rPr>
          <w:rFonts w:hint="eastAsia"/>
        </w:rPr>
        <w:t>，</w:t>
      </w:r>
      <w:r>
        <w:t>现根据1981年6月4日国务院国发〔1981〕99号文件批准的《登外轮人员审批和管理办法》的规定精神</w:t>
      </w:r>
      <w:r>
        <w:rPr>
          <w:rFonts w:hint="eastAsia"/>
        </w:rPr>
        <w:t>，</w:t>
      </w:r>
      <w:r>
        <w:t>对海事法院审判人员等处理海事案件登外轮的问题通知如下：</w:t>
      </w:r>
      <w:bookmarkStart w:id="0" w:name="_GoBack"/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一、</w:t>
      </w:r>
      <w:bookmarkEnd w:id="0"/>
      <w:r>
        <w:t>海事法院的审判人员、执行人员和司法警察在处理案件过程中需要登外轮时</w:t>
      </w:r>
      <w:r>
        <w:rPr>
          <w:rFonts w:hint="eastAsia"/>
        </w:rPr>
        <w:t>，</w:t>
      </w:r>
      <w:r>
        <w:t>凭海事法院院长签发的《执行公务证》并着国家规定的法院制服登轮；随同办案人员登轮的翻译、鉴定人员凭海事法院的通知书登轮。海事法院应事先将登轮时间和人数通知边防检查站。</w:t>
      </w:r>
    </w:p>
    <w:p>
      <w:pPr>
        <w:pStyle w:val="12"/>
        <w:rPr>
          <w:rStyle w:val="25"/>
          <w:rFonts w:hint="eastAsia"/>
        </w:rPr>
      </w:pPr>
      <w:r>
        <w:t>《执行公务证》在有效期限内使用。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二、</w:t>
      </w:r>
      <w:r>
        <w:t>海事法院在内河对外开放港口登外轮处理案件时</w:t>
      </w:r>
      <w:r>
        <w:rPr>
          <w:rFonts w:hint="eastAsia"/>
        </w:rPr>
        <w:t>，</w:t>
      </w:r>
      <w:r>
        <w:t>比照上述规定办理。</w:t>
      </w:r>
    </w:p>
    <w:p>
      <w:pPr>
        <w:pStyle w:val="12"/>
        <w:rPr>
          <w:rFonts w:hint="eastAsia"/>
        </w:rPr>
      </w:pPr>
      <w:r>
        <w:rPr>
          <w:rStyle w:val="25"/>
        </w:rPr>
        <w:t>三、</w:t>
      </w:r>
      <w:r>
        <w:t>登外轮的海事法院办案人员和翻译、鉴定人员</w:t>
      </w:r>
      <w:r>
        <w:rPr>
          <w:rFonts w:hint="eastAsia"/>
        </w:rPr>
        <w:t>，</w:t>
      </w:r>
      <w:r>
        <w:t>必须严格遵守国务院国发〔1981〕99号文件批准的《登外轮工作人</w:t>
      </w:r>
      <w:r>
        <w:rPr>
          <w:rFonts w:hint="eastAsia"/>
        </w:rPr>
        <w:t>员守则》。</w:t>
      </w:r>
    </w:p>
    <w:p>
      <w:pPr>
        <w:pStyle w:val="12"/>
        <w:rPr>
          <w:rFonts w:hint="eastAsia"/>
        </w:rPr>
      </w:pPr>
      <w:r>
        <w:rPr>
          <w:rFonts w:hint="eastAsia"/>
        </w:rPr>
        <w:t>特此通知，望遵照执行。</w:t>
      </w:r>
    </w:p>
    <w:p>
      <w:pPr>
        <w:pStyle w:val="12"/>
        <w:rPr>
          <w:rFonts w:hint="eastAsia"/>
        </w:rPr>
      </w:pPr>
      <w:r>
        <w:rPr>
          <w:rFonts w:hint="eastAsia"/>
        </w:rPr>
        <w:t>附：海事法院执行公务证样式</w:t>
      </w:r>
      <w:r>
        <w:rPr>
          <w:rFonts w:hint="eastAsia"/>
          <w:lang w:eastAsia="zh-CN"/>
        </w:rPr>
        <w:t>（</w:t>
      </w:r>
      <w:r>
        <w:rPr>
          <w:rFonts w:hint="eastAsia"/>
        </w:rPr>
        <w:t>略</w:t>
      </w:r>
      <w:r>
        <w:rPr>
          <w:rFonts w:hint="eastAsia"/>
          <w:lang w:eastAsia="zh-CN"/>
        </w:rPr>
        <w:t>）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725C7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6F725C7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65A3E4A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2017-11-01T03:23:00Z</dcterms:created>
  <dc:creator>Administrator</dc:creator>
  <cp:lastModifiedBy>Administrator</cp:lastModifiedBy>
  <dcterms:modified xsi:type="dcterms:W3CDTF">2017-11-01T04:27:04Z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