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pPr>
      <w:r>
        <w:rPr>
          <w:rFonts w:hint="eastAsia"/>
        </w:rPr>
        <w:t>中华人民共和国最高人民法院</w:t>
      </w:r>
    </w:p>
    <w:p>
      <w:pPr>
        <w:pStyle w:val="7"/>
        <w:rPr>
          <w:rFonts w:hint="eastAsia"/>
          <w:lang w:eastAsia="zh-CN"/>
        </w:rPr>
      </w:pPr>
      <w:r>
        <w:rPr>
          <w:rFonts w:hint="eastAsia"/>
        </w:rPr>
        <w:t>中华人民共和国最高人民检察</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最高人民法院、最高人民检察院《关于办理内幕交易、泄露内幕信息刑事案件具体应用法律若干问题的解释》已</w:t>
      </w:r>
      <w:r>
        <w:rPr>
          <w:rFonts w:hint="eastAsia"/>
          <w:lang w:eastAsia="zh-CN"/>
        </w:rPr>
        <w:t>于</w:t>
      </w:r>
      <w:r>
        <w:rPr>
          <w:rFonts w:hint="eastAsia"/>
        </w:rPr>
        <w:t>2011年10月31日由最高人民法院审判委员会</w:t>
      </w:r>
      <w:r>
        <w:rPr>
          <w:rFonts w:hint="eastAsia"/>
          <w:lang w:eastAsia="zh-CN"/>
        </w:rPr>
        <w:t>第</w:t>
      </w:r>
      <w:r>
        <w:rPr>
          <w:rFonts w:hint="eastAsia"/>
        </w:rPr>
        <w:t>1529次会议</w:t>
      </w:r>
      <w:r>
        <w:rPr>
          <w:rFonts w:hint="eastAsia"/>
          <w:lang w:eastAsia="zh-CN"/>
        </w:rPr>
        <w:t>、</w:t>
      </w:r>
      <w:r>
        <w:rPr>
          <w:rFonts w:hint="eastAsia"/>
        </w:rPr>
        <w:t>2012年2月27日由最高人民检察院第十一届检察委员会</w:t>
      </w:r>
      <w:r>
        <w:rPr>
          <w:rFonts w:hint="eastAsia"/>
          <w:lang w:eastAsia="zh-CN"/>
        </w:rPr>
        <w:t>第</w:t>
      </w:r>
      <w:r>
        <w:rPr>
          <w:rFonts w:hint="eastAsia"/>
        </w:rPr>
        <w:t>72次会议通过，现予公布，自2012年6月1日起施行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2012年3月29日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关于办理内幕交易、泄露内幕信息刑事案件</w:t>
      </w:r>
    </w:p>
    <w:p>
      <w:pPr>
        <w:pStyle w:val="7"/>
        <w:rPr>
          <w:rFonts w:hint="eastAsia"/>
        </w:rPr>
      </w:pPr>
      <w:r>
        <w:t>具体应用法律若干问题的解释</w:t>
      </w:r>
    </w:p>
    <w:p>
      <w:pPr>
        <w:pStyle w:val="12"/>
        <w:jc w:val="both"/>
        <w:rPr>
          <w:rFonts w:hint="eastAsia" w:ascii="宋体" w:hAnsi="宋体" w:eastAsia="宋体" w:cs="宋体"/>
        </w:rPr>
      </w:pPr>
    </w:p>
    <w:p>
      <w:pPr>
        <w:pStyle w:val="19"/>
        <w:rPr>
          <w:rFonts w:hint="eastAsia"/>
        </w:rPr>
      </w:pPr>
      <w:r>
        <w:t>法释〔2012〕6号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2011年10月31日最高人民法院审判委员会第1529次会议、</w:t>
      </w:r>
      <w:r>
        <w:rPr>
          <w:rFonts w:hint="eastAsia"/>
        </w:rPr>
        <w:t>2012</w:t>
      </w:r>
      <w:r>
        <w:t>年2月27日最高人民检察院第十一届检察委员会第72次会议通过　2012年3月29日最高人民法院公告公布　自2012年6月1日起施行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为维护证券、期货市场管理秩序</w:t>
      </w:r>
      <w:r>
        <w:rPr>
          <w:rFonts w:hint="eastAsia"/>
        </w:rPr>
        <w:t>，</w:t>
      </w:r>
      <w:r>
        <w:t>依法惩治证券、期货犯罪</w:t>
      </w:r>
      <w:r>
        <w:rPr>
          <w:rFonts w:hint="eastAsia"/>
        </w:rPr>
        <w:t>，</w:t>
      </w:r>
      <w:r>
        <w:t>根据刑法有关规定</w:t>
      </w:r>
      <w:r>
        <w:rPr>
          <w:rFonts w:hint="eastAsia"/>
        </w:rPr>
        <w:t>，</w:t>
      </w:r>
      <w:r>
        <w:t>现就办理内幕交易、泄露内幕信息刑事案件具体应用法律的若干问题解释如下：</w:t>
      </w:r>
    </w:p>
    <w:p>
      <w:pPr>
        <w:pStyle w:val="12"/>
        <w:jc w:val="both"/>
        <w:rPr>
          <w:rFonts w:hint="eastAsia"/>
        </w:rPr>
      </w:pPr>
      <w:r>
        <w:rPr>
          <w:rStyle w:val="25"/>
        </w:rPr>
        <w:t>第一条</w:t>
      </w:r>
      <w:r>
        <w:t>　下列人员应当认定为刑法第一百八十条第一款规定的“证券、期货交易内幕信息的知情人</w:t>
      </w:r>
      <w:r>
        <w:rPr>
          <w:rFonts w:hint="eastAsia"/>
        </w:rPr>
        <w:t>员”：</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证券法第七十四条规定的人员；</w:t>
      </w:r>
    </w:p>
    <w:p>
      <w:pPr>
        <w:pStyle w:val="12"/>
        <w:jc w:val="both"/>
        <w:rPr>
          <w:rStyle w:val="25"/>
          <w:rFonts w:hint="eastAsia"/>
        </w:rPr>
      </w:pPr>
      <w:r>
        <w:rPr>
          <w:rFonts w:hint="eastAsia"/>
          <w:lang w:eastAsia="zh-CN"/>
        </w:rPr>
        <w:t>（</w:t>
      </w:r>
      <w:r>
        <w:rPr>
          <w:rFonts w:hint="eastAsia"/>
        </w:rPr>
        <w:t>二</w:t>
      </w:r>
      <w:r>
        <w:rPr>
          <w:rFonts w:hint="eastAsia"/>
          <w:lang w:eastAsia="zh-CN"/>
        </w:rPr>
        <w:t>）</w:t>
      </w:r>
      <w:r>
        <w:rPr>
          <w:rFonts w:hint="eastAsia"/>
        </w:rPr>
        <w:t>期货交易管理条例第八十五条第十二项规定的人员。</w:t>
      </w:r>
    </w:p>
    <w:p>
      <w:pPr>
        <w:pStyle w:val="12"/>
        <w:jc w:val="both"/>
        <w:rPr>
          <w:rFonts w:hint="eastAsia"/>
        </w:rPr>
      </w:pPr>
      <w:r>
        <w:rPr>
          <w:rStyle w:val="25"/>
        </w:rPr>
        <w:t>第二条</w:t>
      </w:r>
      <w:r>
        <w:t>　具有下列行为的人员应当认定为刑法第一百八十条第一款规定的“非法获取证券、期货交易内幕信息的人员”：</w:t>
      </w:r>
    </w:p>
    <w:p>
      <w:pPr>
        <w:pStyle w:val="12"/>
        <w:jc w:val="both"/>
        <w:rPr>
          <w:rFonts w:hint="eastAsia"/>
        </w:rPr>
      </w:pPr>
      <w:r>
        <w:rPr>
          <w:rFonts w:hint="eastAsia"/>
          <w:lang w:eastAsia="zh-CN"/>
        </w:rPr>
        <w:t>（</w:t>
      </w:r>
      <w:r>
        <w:t>一</w:t>
      </w:r>
      <w:r>
        <w:rPr>
          <w:rFonts w:hint="eastAsia"/>
          <w:lang w:eastAsia="zh-CN"/>
        </w:rPr>
        <w:t>）</w:t>
      </w:r>
      <w:r>
        <w:t>利用窃取、骗取、套取、窃听、利诱、刺探或者私下交易等手段获取内幕信息的；</w:t>
      </w:r>
    </w:p>
    <w:p>
      <w:pPr>
        <w:pStyle w:val="12"/>
        <w:jc w:val="both"/>
        <w:rPr>
          <w:rFonts w:hint="eastAsia"/>
        </w:rPr>
      </w:pPr>
      <w:r>
        <w:rPr>
          <w:rFonts w:hint="eastAsia"/>
          <w:lang w:eastAsia="zh-CN"/>
        </w:rPr>
        <w:t>（</w:t>
      </w:r>
      <w:r>
        <w:t>二</w:t>
      </w:r>
      <w:r>
        <w:rPr>
          <w:rFonts w:hint="eastAsia"/>
          <w:lang w:eastAsia="zh-CN"/>
        </w:rPr>
        <w:t>）</w:t>
      </w:r>
      <w:r>
        <w:t>内幕信息知情人员的近亲属或者其他与内幕信息知情人员关系密切的人员</w:t>
      </w:r>
      <w:r>
        <w:rPr>
          <w:rFonts w:hint="eastAsia"/>
        </w:rPr>
        <w:t>，</w:t>
      </w:r>
      <w:r>
        <w:t>在内幕信息敏感期内</w:t>
      </w:r>
      <w:r>
        <w:rPr>
          <w:rFonts w:hint="eastAsia"/>
        </w:rPr>
        <w:t>，</w:t>
      </w:r>
      <w:r>
        <w:t>从事或者明示、暗示他人从事</w:t>
      </w:r>
      <w:r>
        <w:rPr>
          <w:rFonts w:hint="eastAsia"/>
        </w:rPr>
        <w:t>，</w:t>
      </w:r>
      <w:r>
        <w:t>或者泄露内幕信息导致他人从事与该内幕信息有关的证券、期货交易</w:t>
      </w:r>
      <w:r>
        <w:rPr>
          <w:rFonts w:hint="eastAsia"/>
        </w:rPr>
        <w:t>，</w:t>
      </w:r>
      <w:r>
        <w:t>相关交易行为明显</w:t>
      </w:r>
      <w:r>
        <w:rPr>
          <w:rFonts w:hint="eastAsia"/>
        </w:rPr>
        <w:t>异常，且无正当理由或者正当信息来源的；</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在内幕信息敏感期内，与内幕信息知情人员联络、接触，从事或者明示、暗示他人从事，或者泄露内幕信息导致他人从事与该内幕信息有关的证券、期货交易，相关交易行为明显异常，且无正当理由或者正当信息来源的。</w:t>
      </w:r>
    </w:p>
    <w:p>
      <w:pPr>
        <w:pStyle w:val="12"/>
        <w:jc w:val="both"/>
        <w:rPr>
          <w:rFonts w:hint="eastAsia"/>
        </w:rPr>
      </w:pPr>
      <w:r>
        <w:rPr>
          <w:rStyle w:val="25"/>
        </w:rPr>
        <w:t>第三条</w:t>
      </w:r>
      <w:r>
        <w:t>　本解释第二条第二项、第三项规定的“相关交易行为明显异常”</w:t>
      </w:r>
      <w:r>
        <w:rPr>
          <w:rFonts w:hint="eastAsia"/>
        </w:rPr>
        <w:t>，</w:t>
      </w:r>
      <w:r>
        <w:t>要综合以下情形</w:t>
      </w:r>
      <w:r>
        <w:rPr>
          <w:rFonts w:hint="eastAsia"/>
        </w:rPr>
        <w:t>，</w:t>
      </w:r>
      <w:r>
        <w:t>从时间吻合程度、交易背离程度和利益关联程度等方面予以认定：</w:t>
      </w:r>
    </w:p>
    <w:p>
      <w:pPr>
        <w:pStyle w:val="12"/>
        <w:jc w:val="both"/>
        <w:rPr>
          <w:rFonts w:hint="eastAsia"/>
        </w:rPr>
      </w:pPr>
      <w:r>
        <w:rPr>
          <w:rFonts w:hint="eastAsia"/>
          <w:lang w:eastAsia="zh-CN"/>
        </w:rPr>
        <w:t>（</w:t>
      </w:r>
      <w:r>
        <w:t>一</w:t>
      </w:r>
      <w:r>
        <w:rPr>
          <w:rFonts w:hint="eastAsia"/>
          <w:lang w:eastAsia="zh-CN"/>
        </w:rPr>
        <w:t>）</w:t>
      </w:r>
      <w:r>
        <w:t>开户、销户、激活资金账户或者指定交易</w:t>
      </w:r>
      <w:r>
        <w:rPr>
          <w:rFonts w:hint="eastAsia"/>
          <w:lang w:eastAsia="zh-CN"/>
        </w:rPr>
        <w:t>（</w:t>
      </w:r>
      <w:r>
        <w:t>托管</w:t>
      </w:r>
      <w:r>
        <w:rPr>
          <w:rFonts w:hint="eastAsia"/>
          <w:lang w:eastAsia="zh-CN"/>
        </w:rPr>
        <w:t>）</w:t>
      </w:r>
      <w:r>
        <w:t>、撤销指定交易</w:t>
      </w:r>
      <w:r>
        <w:rPr>
          <w:rFonts w:hint="eastAsia"/>
          <w:lang w:eastAsia="zh-CN"/>
        </w:rPr>
        <w:t>（</w:t>
      </w:r>
      <w:r>
        <w:t>转托管</w:t>
      </w:r>
      <w:r>
        <w:rPr>
          <w:rFonts w:hint="eastAsia"/>
          <w:lang w:eastAsia="zh-CN"/>
        </w:rPr>
        <w:t>）</w:t>
      </w:r>
      <w:r>
        <w:t>的时间与该内幕信息形成、变</w:t>
      </w:r>
      <w:r>
        <w:rPr>
          <w:rFonts w:hint="eastAsia"/>
        </w:rPr>
        <w:t>化、公开时间基本一致的；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资金变化与该内幕信息形成、变化、公开时间基本一致的；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买入或者卖出与内幕信息有关的证券、期货合约时间与内幕信息的形成、变化和公开时间基本一致的；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买入或者卖出与内幕信息有关的证券、期货合约时间与获悉内幕信息的时间基本一致的；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买入或者卖出证券、期货合约行为明显与平时交易习惯不同的；</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买入或者卖出证券、期货合约行为，或者集中持有证券、期货合约行为与该证券、期货公开信息反映的基本面明显背离的；</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账户交易资金进出与该内幕信息知情人员或者非法获取人员有关联或者利害关系的；</w:t>
      </w:r>
    </w:p>
    <w:p>
      <w:pPr>
        <w:pStyle w:val="12"/>
        <w:jc w:val="both"/>
        <w:rPr>
          <w:rStyle w:val="25"/>
          <w:rFonts w:hint="eastAsia"/>
        </w:rPr>
      </w:pPr>
      <w:r>
        <w:rPr>
          <w:rFonts w:hint="eastAsia"/>
          <w:lang w:eastAsia="zh-CN"/>
        </w:rPr>
        <w:t>（</w:t>
      </w:r>
      <w:r>
        <w:rPr>
          <w:rFonts w:hint="eastAsia"/>
        </w:rPr>
        <w:t>八</w:t>
      </w:r>
      <w:r>
        <w:rPr>
          <w:rFonts w:hint="eastAsia"/>
          <w:lang w:eastAsia="zh-CN"/>
        </w:rPr>
        <w:t>）</w:t>
      </w:r>
      <w:r>
        <w:rPr>
          <w:rFonts w:hint="eastAsia"/>
        </w:rPr>
        <w:t>其他交易行为明显异常情形。</w:t>
      </w:r>
    </w:p>
    <w:p>
      <w:pPr>
        <w:pStyle w:val="12"/>
        <w:jc w:val="both"/>
        <w:rPr>
          <w:rFonts w:hint="eastAsia"/>
        </w:rPr>
      </w:pPr>
      <w:r>
        <w:rPr>
          <w:rStyle w:val="25"/>
        </w:rPr>
        <w:t>第四条</w:t>
      </w:r>
      <w:r>
        <w:t>　具有下列情形之一的</w:t>
      </w:r>
      <w:r>
        <w:rPr>
          <w:rFonts w:hint="eastAsia"/>
        </w:rPr>
        <w:t>，</w:t>
      </w:r>
      <w:r>
        <w:t>不属于刑法第一百八十条第一款规定的从事与内幕信息有关的证券、期货交易：</w:t>
      </w:r>
    </w:p>
    <w:p>
      <w:pPr>
        <w:pStyle w:val="12"/>
        <w:jc w:val="both"/>
        <w:rPr>
          <w:rFonts w:hint="eastAsia"/>
        </w:rPr>
      </w:pPr>
      <w:r>
        <w:rPr>
          <w:rFonts w:hint="eastAsia"/>
          <w:lang w:eastAsia="zh-CN"/>
        </w:rPr>
        <w:t>（</w:t>
      </w:r>
      <w:r>
        <w:t>一</w:t>
      </w:r>
      <w:r>
        <w:rPr>
          <w:rFonts w:hint="eastAsia"/>
          <w:lang w:eastAsia="zh-CN"/>
        </w:rPr>
        <w:t>）</w:t>
      </w:r>
      <w:r>
        <w:t>持有或者通过协议、其他安排与他人共同持有上市公司百分之五以上股份的自然人、法人或者其他组织收购该上市公司股份的；</w:t>
      </w:r>
    </w:p>
    <w:p>
      <w:pPr>
        <w:pStyle w:val="12"/>
        <w:jc w:val="both"/>
        <w:rPr>
          <w:rFonts w:hint="eastAsia"/>
        </w:rPr>
      </w:pPr>
      <w:r>
        <w:rPr>
          <w:rFonts w:hint="eastAsia"/>
          <w:lang w:eastAsia="zh-CN"/>
        </w:rPr>
        <w:t>（</w:t>
      </w:r>
      <w:r>
        <w:t>二</w:t>
      </w:r>
      <w:r>
        <w:rPr>
          <w:rFonts w:hint="eastAsia"/>
          <w:lang w:eastAsia="zh-CN"/>
        </w:rPr>
        <w:t>）</w:t>
      </w:r>
      <w:r>
        <w:t>按照事先订立的书面合同、指令、计划从事相关证券、期货交易的；</w:t>
      </w:r>
    </w:p>
    <w:p>
      <w:pPr>
        <w:pStyle w:val="12"/>
        <w:jc w:val="both"/>
        <w:rPr>
          <w:rFonts w:hint="eastAsia"/>
        </w:rPr>
      </w:pPr>
      <w:r>
        <w:rPr>
          <w:rFonts w:hint="eastAsia"/>
          <w:lang w:eastAsia="zh-CN"/>
        </w:rPr>
        <w:t>（</w:t>
      </w:r>
      <w:r>
        <w:t>三</w:t>
      </w:r>
      <w:r>
        <w:rPr>
          <w:rFonts w:hint="eastAsia"/>
          <w:lang w:eastAsia="zh-CN"/>
        </w:rPr>
        <w:t>）</w:t>
      </w:r>
      <w:r>
        <w:t>依据已被他人披露的信息而交易的；</w:t>
      </w:r>
    </w:p>
    <w:p>
      <w:pPr>
        <w:pStyle w:val="12"/>
        <w:jc w:val="both"/>
        <w:rPr>
          <w:rStyle w:val="25"/>
          <w:rFonts w:hint="eastAsia"/>
        </w:rPr>
      </w:pPr>
      <w:r>
        <w:rPr>
          <w:rFonts w:hint="eastAsia"/>
          <w:lang w:eastAsia="zh-CN"/>
        </w:rPr>
        <w:t>（</w:t>
      </w:r>
      <w:r>
        <w:t>四</w:t>
      </w:r>
      <w:r>
        <w:rPr>
          <w:rFonts w:hint="eastAsia"/>
          <w:lang w:eastAsia="zh-CN"/>
        </w:rPr>
        <w:t>）</w:t>
      </w:r>
      <w:r>
        <w:t>交易具有其他正当理由或者正当信息来源的。</w:t>
      </w:r>
    </w:p>
    <w:p>
      <w:pPr>
        <w:pStyle w:val="12"/>
        <w:jc w:val="both"/>
        <w:rPr>
          <w:rFonts w:hint="eastAsia"/>
        </w:rPr>
      </w:pPr>
      <w:r>
        <w:rPr>
          <w:rStyle w:val="25"/>
        </w:rPr>
        <w:t>第五条</w:t>
      </w:r>
      <w:r>
        <w:t>　本解释所称“内幕信</w:t>
      </w:r>
      <w:r>
        <w:rPr>
          <w:rFonts w:hint="eastAsia"/>
        </w:rPr>
        <w:t>息敏感期”是指内幕信息自形成至公开的期间。</w:t>
      </w:r>
    </w:p>
    <w:p>
      <w:pPr>
        <w:pStyle w:val="12"/>
        <w:jc w:val="both"/>
        <w:rPr>
          <w:rFonts w:hint="eastAsia"/>
        </w:rPr>
      </w:pPr>
      <w:r>
        <w:rPr>
          <w:rFonts w:hint="eastAsia"/>
        </w:rPr>
        <w:t>证券法第六十七条第二款所列“重大事件”的发生时间，第七十五条规定的“计划”、“方案”以及期货交易管理条例第八十五条第十一项规定的“政策”、“决定”等的形成时间，应当认定为内幕信息的形成之时。</w:t>
      </w:r>
    </w:p>
    <w:p>
      <w:pPr>
        <w:pStyle w:val="12"/>
        <w:jc w:val="both"/>
        <w:rPr>
          <w:rFonts w:hint="eastAsia"/>
        </w:rPr>
      </w:pPr>
      <w:r>
        <w:rPr>
          <w:rFonts w:hint="eastAsia"/>
        </w:rPr>
        <w:t>影响内幕信息形成的动议、筹划、决策或者执行人员，其动议、筹划、决策或者执行初始时间，应当认定为内幕信息的形成之时。</w:t>
      </w:r>
    </w:p>
    <w:p>
      <w:pPr>
        <w:pStyle w:val="12"/>
        <w:jc w:val="both"/>
        <w:rPr>
          <w:rStyle w:val="25"/>
          <w:rFonts w:hint="eastAsia"/>
        </w:rPr>
      </w:pPr>
      <w:r>
        <w:rPr>
          <w:rFonts w:hint="eastAsia"/>
        </w:rPr>
        <w:t>内幕信息的公开，是指内幕信息在国务院证券、期货监督管理机构指定的报刊、网站等媒体披露。</w:t>
      </w:r>
    </w:p>
    <w:p>
      <w:pPr>
        <w:pStyle w:val="12"/>
        <w:jc w:val="both"/>
        <w:rPr>
          <w:rFonts w:hint="eastAsia"/>
        </w:rPr>
      </w:pPr>
      <w:r>
        <w:rPr>
          <w:rStyle w:val="25"/>
        </w:rPr>
        <w:t>第六条</w:t>
      </w:r>
      <w:r>
        <w:t>　在内幕信息敏感期内从事或者明示、暗示</w:t>
      </w:r>
      <w:r>
        <w:rPr>
          <w:rFonts w:hint="eastAsia"/>
        </w:rPr>
        <w:t>他人从事或者泄露内幕信息导致他人从事与该内幕信息有关的证券、期货交易，具有下列情形之一的，应当认定为刑法第一百八十条第一款规定的“情节严重”：</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证券交易成交额在五十万元以上的；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期货交易占用保证金数额在三十万元以上的；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获利或者避免损失数额在十五万元以上的；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三次以上的；</w:t>
      </w:r>
    </w:p>
    <w:p>
      <w:pPr>
        <w:pStyle w:val="12"/>
        <w:jc w:val="both"/>
        <w:rPr>
          <w:rStyle w:val="25"/>
          <w:rFonts w:hint="eastAsia"/>
        </w:rPr>
      </w:pPr>
      <w:r>
        <w:rPr>
          <w:rFonts w:hint="eastAsia"/>
          <w:lang w:eastAsia="zh-CN"/>
        </w:rPr>
        <w:t>（</w:t>
      </w:r>
      <w:r>
        <w:rPr>
          <w:rFonts w:hint="eastAsia"/>
        </w:rPr>
        <w:t>五</w:t>
      </w:r>
      <w:r>
        <w:rPr>
          <w:rFonts w:hint="eastAsia"/>
          <w:lang w:eastAsia="zh-CN"/>
        </w:rPr>
        <w:t>）</w:t>
      </w:r>
      <w:r>
        <w:rPr>
          <w:rFonts w:hint="eastAsia"/>
        </w:rPr>
        <w:t>具有其他严重情节的。</w:t>
      </w:r>
    </w:p>
    <w:p>
      <w:pPr>
        <w:pStyle w:val="12"/>
        <w:jc w:val="both"/>
        <w:rPr>
          <w:rFonts w:hint="eastAsia"/>
        </w:rPr>
      </w:pPr>
      <w:r>
        <w:rPr>
          <w:rStyle w:val="25"/>
        </w:rPr>
        <w:t>第七条</w:t>
      </w:r>
      <w:r>
        <w:t>　在内幕信息敏感期内从事或者明示、暗示他人从事或者泄露内幕信息导致他人从事与该内幕信息有关的证券、期货交易</w:t>
      </w:r>
      <w:r>
        <w:rPr>
          <w:rFonts w:hint="eastAsia"/>
        </w:rPr>
        <w:t>，</w:t>
      </w:r>
      <w:r>
        <w:t>具有下列情形之一的</w:t>
      </w:r>
      <w:r>
        <w:rPr>
          <w:rFonts w:hint="eastAsia"/>
        </w:rPr>
        <w:t>，</w:t>
      </w:r>
      <w:r>
        <w:t>应当认定为刑法第一百八十</w:t>
      </w:r>
      <w:r>
        <w:rPr>
          <w:rFonts w:hint="eastAsia"/>
        </w:rPr>
        <w:t>条第一款规定的“情节特别严重”：</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证券交易成交额在二百五十万元以上的；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期货交易占用保证金数额在一百五十万元以上的；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获利或者避免损失数额在七十五万元以上的；</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具有其他特别严重情节的。</w:t>
      </w:r>
    </w:p>
    <w:p>
      <w:pPr>
        <w:pStyle w:val="12"/>
        <w:jc w:val="both"/>
        <w:rPr>
          <w:rStyle w:val="25"/>
          <w:rFonts w:hint="eastAsia"/>
        </w:rPr>
      </w:pPr>
      <w:r>
        <w:rPr>
          <w:rStyle w:val="25"/>
        </w:rPr>
        <w:t>第八条</w:t>
      </w:r>
      <w:r>
        <w:t>　二次以上实施内幕交易或者泄露内幕信息行为</w:t>
      </w:r>
      <w:r>
        <w:rPr>
          <w:rFonts w:hint="eastAsia"/>
        </w:rPr>
        <w:t>，</w:t>
      </w:r>
      <w:r>
        <w:t>未经行政处理或者刑事处理的</w:t>
      </w:r>
      <w:r>
        <w:rPr>
          <w:rFonts w:hint="eastAsia"/>
        </w:rPr>
        <w:t>，</w:t>
      </w:r>
      <w:r>
        <w:t>应当对相关交易数额依法累计计算。</w:t>
      </w:r>
    </w:p>
    <w:p>
      <w:pPr>
        <w:pStyle w:val="12"/>
        <w:jc w:val="both"/>
        <w:rPr>
          <w:rFonts w:hint="eastAsia"/>
        </w:rPr>
      </w:pPr>
      <w:r>
        <w:rPr>
          <w:rStyle w:val="25"/>
        </w:rPr>
        <w:t>第九条</w:t>
      </w:r>
      <w:r>
        <w:t>　同一案件中</w:t>
      </w:r>
      <w:r>
        <w:rPr>
          <w:rFonts w:hint="eastAsia"/>
        </w:rPr>
        <w:t>，</w:t>
      </w:r>
      <w:r>
        <w:t>成交额、占用保证金额、获利或者避免损失额分别构成情节严重、情节特别严重的</w:t>
      </w:r>
      <w:r>
        <w:rPr>
          <w:rFonts w:hint="eastAsia"/>
        </w:rPr>
        <w:t>，</w:t>
      </w:r>
      <w:r>
        <w:t>按照处罚较重的数额定罪处罚。</w:t>
      </w:r>
    </w:p>
    <w:p>
      <w:pPr>
        <w:pStyle w:val="12"/>
        <w:jc w:val="both"/>
        <w:rPr>
          <w:rStyle w:val="25"/>
          <w:rFonts w:hint="eastAsia"/>
        </w:rPr>
      </w:pPr>
      <w:r>
        <w:t>构成共同犯罪</w:t>
      </w:r>
      <w:r>
        <w:rPr>
          <w:rFonts w:hint="eastAsia"/>
        </w:rPr>
        <w:t>的，按照共同犯罪行为人的成交总额、占用保证金总额、获利或者避免损失总额定罪处罚，但判处各被告人罚金的总额应掌握在获利或者避免损失总额的一倍以上五倍以下。</w:t>
      </w:r>
    </w:p>
    <w:p>
      <w:pPr>
        <w:pStyle w:val="12"/>
        <w:jc w:val="both"/>
        <w:rPr>
          <w:rFonts w:hint="eastAsia"/>
        </w:rPr>
      </w:pPr>
      <w:r>
        <w:rPr>
          <w:rStyle w:val="25"/>
        </w:rPr>
        <w:t>第十条</w:t>
      </w:r>
      <w:r>
        <w:t>　刑法第一百八十条第一款规定的“违法所得”</w:t>
      </w:r>
      <w:r>
        <w:rPr>
          <w:rFonts w:hint="eastAsia"/>
        </w:rPr>
        <w:t>，</w:t>
      </w:r>
      <w:r>
        <w:t>是指通过内幕交易行为所获利益或者避免的损失。</w:t>
      </w:r>
    </w:p>
    <w:p>
      <w:pPr>
        <w:pStyle w:val="12"/>
        <w:jc w:val="both"/>
        <w:rPr>
          <w:rStyle w:val="25"/>
          <w:rFonts w:hint="eastAsia"/>
        </w:rPr>
      </w:pPr>
      <w:r>
        <w:t>内幕信息的泄露人员或者内幕交易的明示、暗示人员未实际从事内幕交易的</w:t>
      </w:r>
      <w:r>
        <w:rPr>
          <w:rFonts w:hint="eastAsia"/>
        </w:rPr>
        <w:t>，</w:t>
      </w:r>
      <w:r>
        <w:t>其罚金数额按照因泄露而获悉内幕信息人员或者被明示、暗示人员从事内幕交易的违法所得计算。</w:t>
      </w:r>
    </w:p>
    <w:p>
      <w:pPr>
        <w:pStyle w:val="12"/>
        <w:rPr>
          <w:rFonts w:hint="eastAsia"/>
        </w:rPr>
      </w:pPr>
      <w:r>
        <w:rPr>
          <w:rStyle w:val="25"/>
        </w:rPr>
        <w:t>第十一条</w:t>
      </w:r>
      <w:r>
        <w:t>　单位实施刑法第一百八十条第一款规定的行为</w:t>
      </w:r>
      <w:r>
        <w:rPr>
          <w:rFonts w:hint="eastAsia"/>
        </w:rPr>
        <w:t>，具有本解释第六条规定情形之一的，按照刑法第一百八十条第二款的规定定罪处罚。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CD3B49"/>
    <w:rsid w:val="00323D76"/>
    <w:rsid w:val="02380A4E"/>
    <w:rsid w:val="02C54CFB"/>
    <w:rsid w:val="042F174E"/>
    <w:rsid w:val="0751543E"/>
    <w:rsid w:val="08CD3B49"/>
    <w:rsid w:val="0BE369DE"/>
    <w:rsid w:val="0F9D48A9"/>
    <w:rsid w:val="0FC66F39"/>
    <w:rsid w:val="135B4974"/>
    <w:rsid w:val="19EF53F7"/>
    <w:rsid w:val="1C547AC8"/>
    <w:rsid w:val="20194FCD"/>
    <w:rsid w:val="211007F7"/>
    <w:rsid w:val="224D5C1E"/>
    <w:rsid w:val="26934BCD"/>
    <w:rsid w:val="28B53323"/>
    <w:rsid w:val="2A483D38"/>
    <w:rsid w:val="2A844039"/>
    <w:rsid w:val="2CFE6EE4"/>
    <w:rsid w:val="2D725F92"/>
    <w:rsid w:val="302E782D"/>
    <w:rsid w:val="325C564C"/>
    <w:rsid w:val="35CF5AB0"/>
    <w:rsid w:val="36AE6775"/>
    <w:rsid w:val="38787F7C"/>
    <w:rsid w:val="39191BFA"/>
    <w:rsid w:val="3D717517"/>
    <w:rsid w:val="3FBC61B7"/>
    <w:rsid w:val="4AEF215E"/>
    <w:rsid w:val="4DA15956"/>
    <w:rsid w:val="4E7D2A86"/>
    <w:rsid w:val="501B3EB2"/>
    <w:rsid w:val="5027117E"/>
    <w:rsid w:val="54027013"/>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2017-11-01T10:37:00Z</dcterms:created>
  <dc:creator>Administrator</dc:creator>
  <cp:lastModifiedBy>Administrator</cp:lastModifiedBy>
  <dcterms:modified xsi:type="dcterms:W3CDTF">2017-11-15T17:01:04Z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