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</w:pPr>
      <w:r>
        <w:t>关于办理敲诈勒索刑事案件适用法律</w:t>
      </w:r>
    </w:p>
    <w:p>
      <w:pPr>
        <w:pStyle w:val="7"/>
        <w:rPr>
          <w:rFonts w:hint="eastAsia"/>
        </w:rPr>
      </w:pPr>
      <w:r>
        <w:t>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法释〔2013〕10号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2013年4月15日最高人民法院审判委员会第1575次会议、2013年4月1日最高人民检察院第十二届检察委员会第2次会议通过　2013年4月23日最高人民法院、最高人民检察院公告公布　自2013年4月27日起施行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为依法惩治敲诈勒索犯罪</w:t>
      </w:r>
      <w:r>
        <w:rPr>
          <w:rFonts w:hint="eastAsia"/>
        </w:rPr>
        <w:t>，</w:t>
      </w:r>
      <w:r>
        <w:t>保护公私财产权利</w:t>
      </w:r>
      <w:r>
        <w:rPr>
          <w:rFonts w:hint="eastAsia"/>
        </w:rPr>
        <w:t>，</w:t>
      </w:r>
      <w:r>
        <w:t>根据《中华人民共和国刑法》、《中华人民共和国刑事诉讼法》的有关规定</w:t>
      </w:r>
      <w:r>
        <w:rPr>
          <w:rFonts w:hint="eastAsia"/>
        </w:rPr>
        <w:t>，</w:t>
      </w:r>
      <w:r>
        <w:t>现就办理敲诈勒索刑事案件适用法律的若干问题解释如下：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敲诈勒索公私财物价值二千元至五千元以上、三万元至十万元以上、三十万元至五十万元以上的</w:t>
      </w:r>
      <w:r>
        <w:rPr>
          <w:rFonts w:hint="eastAsia"/>
        </w:rPr>
        <w:t>，</w:t>
      </w:r>
      <w:r>
        <w:t>应当分别认定为刑法第二百七十四条规定的</w:t>
      </w:r>
      <w:r>
        <w:rPr>
          <w:rFonts w:hint="eastAsia"/>
        </w:rPr>
        <w:t>“数额较大”、“数额巨大”、“数额特别巨大”。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各省、自治区、直辖市高级人民法院、人民检察院可以根据本地区经济发展状况和社会治安状况，在前款规定的数额幅度内，共同研究确定本地区执行的具体数额标准，报最高人民法院、最高人民检察院批准。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敲诈勒索公私财物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，“</w:t>
      </w:r>
      <w:r>
        <w:t>数额较大”的标准可以按照本解释第一条规定标准的百分之五十确定：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曾因敲诈勒索受过刑事处罚的；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一年内曾因敲诈勒索受过行政处罚的；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对未成年人、残疾人、老年人或者丧失劳动能力人敲诈勒索的</w:t>
      </w:r>
      <w:r>
        <w:rPr>
          <w:rFonts w:hint="eastAsia"/>
        </w:rPr>
        <w:t>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以将要实施放火、爆炸等危害公共安全犯罪或者故意杀人、绑架等严重侵犯公民人身权利犯罪相威胁敲诈勒索的；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以黑恶势力名义敲诈勒索的；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利用或者冒充国家机关工作人员、军人、新闻工作者等特殊身份敲诈勒索的；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造成其他严重后果的。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第三条</w:t>
      </w:r>
      <w:r>
        <w:t>　二年内敲诈勒索三次以上的</w:t>
      </w:r>
      <w:r>
        <w:rPr>
          <w:rFonts w:hint="eastAsia"/>
        </w:rPr>
        <w:t>，</w:t>
      </w:r>
      <w:r>
        <w:t>应当认定为刑法第二百七十四条规定的“多次敲诈勒索”。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敲诈勒索公私财物</w:t>
      </w:r>
      <w:r>
        <w:rPr>
          <w:rFonts w:hint="eastAsia"/>
        </w:rPr>
        <w:t>，</w:t>
      </w:r>
      <w:r>
        <w:t>具有本解释第二条第三项至第七项规定的情形之一</w:t>
      </w:r>
      <w:r>
        <w:rPr>
          <w:rFonts w:hint="eastAsia"/>
        </w:rPr>
        <w:t>，</w:t>
      </w:r>
      <w:r>
        <w:t>数额达到本解释第一条规定的“数额巨大”、“数额特</w:t>
      </w:r>
      <w:r>
        <w:rPr>
          <w:rFonts w:hint="eastAsia"/>
        </w:rPr>
        <w:t>别巨大”百分之八十的，可以分别认定为刑法第二百七十四条规定的“其他严重情节”、“其他特别严重情节”。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敲诈勒索数额较大</w:t>
      </w:r>
      <w:r>
        <w:rPr>
          <w:rFonts w:hint="eastAsia"/>
        </w:rPr>
        <w:t>，</w:t>
      </w:r>
      <w:r>
        <w:t>行为人认罪、悔罪</w:t>
      </w:r>
      <w:r>
        <w:rPr>
          <w:rFonts w:hint="eastAsia"/>
        </w:rPr>
        <w:t>，</w:t>
      </w:r>
      <w:r>
        <w:t>退赃、退赔</w:t>
      </w:r>
      <w:r>
        <w:rPr>
          <w:rFonts w:hint="eastAsia"/>
        </w:rPr>
        <w:t>，</w:t>
      </w:r>
      <w:r>
        <w:t>并具有下列情形之一的</w:t>
      </w:r>
      <w:r>
        <w:rPr>
          <w:rFonts w:hint="eastAsia"/>
        </w:rPr>
        <w:t>，</w:t>
      </w:r>
      <w:r>
        <w:t>可以认定为犯罪情节轻微</w:t>
      </w:r>
      <w:r>
        <w:rPr>
          <w:rFonts w:hint="eastAsia"/>
        </w:rPr>
        <w:t>，</w:t>
      </w:r>
      <w:r>
        <w:t>不起诉或者免予刑事处罚</w:t>
      </w:r>
      <w:r>
        <w:rPr>
          <w:rFonts w:hint="eastAsia"/>
        </w:rPr>
        <w:t>，</w:t>
      </w:r>
      <w:r>
        <w:t>由有关部门依法予以行政处罚：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具有法定从宽处罚情节的；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没有参与分赃或者获赃较少且不是主犯的；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被害人谅解的；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其他情节轻微、危害不大的。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敲诈勒索近亲属的财物</w:t>
      </w:r>
      <w:r>
        <w:rPr>
          <w:rFonts w:hint="eastAsia"/>
        </w:rPr>
        <w:t>，</w:t>
      </w:r>
      <w:r>
        <w:t>获得谅解的</w:t>
      </w:r>
      <w:r>
        <w:rPr>
          <w:rFonts w:hint="eastAsia"/>
        </w:rPr>
        <w:t>，</w:t>
      </w:r>
      <w:r>
        <w:t>一般不认为是犯罪；认定为</w:t>
      </w:r>
      <w:r>
        <w:rPr>
          <w:rFonts w:hint="eastAsia"/>
        </w:rPr>
        <w:t>犯罪的，应当酌情从宽处理。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被害人对敲诈勒索的发生存在过错的，根据被害人过错程度和案件其他情况，可以对行为人酌情从宽处理；情节显著轻微危害不大的，不认为是犯罪。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明知他人实施敲诈勒索犯罪</w:t>
      </w:r>
      <w:r>
        <w:rPr>
          <w:rFonts w:hint="eastAsia"/>
        </w:rPr>
        <w:t>，</w:t>
      </w:r>
      <w:r>
        <w:t>为其提供信用卡、手机卡、通讯工具、通讯传输通道、网络技术支持等帮助的</w:t>
      </w:r>
      <w:r>
        <w:rPr>
          <w:rFonts w:hint="eastAsia"/>
        </w:rPr>
        <w:t>，</w:t>
      </w:r>
      <w:r>
        <w:t>以共同犯罪论处。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对犯敲诈勒索罪的被告人</w:t>
      </w:r>
      <w:r>
        <w:rPr>
          <w:rFonts w:hint="eastAsia"/>
        </w:rPr>
        <w:t>，</w:t>
      </w:r>
      <w:r>
        <w:t>应当在二千元以上、敲诈勒索数额的二倍以下判处罚金；被告人没有获得财物的</w:t>
      </w:r>
      <w:r>
        <w:rPr>
          <w:rFonts w:hint="eastAsia"/>
        </w:rPr>
        <w:t>，</w:t>
      </w:r>
      <w:r>
        <w:t>应当在二千元以上十万元以下判处罚金。</w:t>
      </w:r>
    </w:p>
    <w:p>
      <w:pPr>
        <w:pStyle w:val="12"/>
        <w:rPr>
          <w:rFonts w:hint="eastAsia"/>
        </w:rPr>
      </w:pPr>
      <w:r>
        <w:rPr>
          <w:rStyle w:val="25"/>
        </w:rPr>
        <w:t>第九条</w:t>
      </w:r>
      <w:r>
        <w:rPr>
          <w:rFonts w:hint="eastAsia"/>
        </w:rPr>
        <w:t>　本解释公布施行后，《最高人民法院关于敲诈勒索罪数额认定标准问题的规定》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法释〔</w:t>
      </w:r>
      <w:r>
        <w:t>2000〕11号</w:t>
      </w:r>
      <w:r>
        <w:rPr>
          <w:rFonts w:hint="eastAsia"/>
          <w:lang w:eastAsia="zh-CN"/>
        </w:rPr>
        <w:t>）</w:t>
      </w:r>
      <w:r>
        <w:t>同时废止；此前发布的司法解释与本解释不一致的</w:t>
      </w:r>
      <w:r>
        <w:rPr>
          <w:rFonts w:hint="eastAsia"/>
        </w:rPr>
        <w:t>，</w:t>
      </w:r>
      <w:r>
        <w:t>以本解释为准。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45A00"/>
    <w:rsid w:val="00323D76"/>
    <w:rsid w:val="02380A4E"/>
    <w:rsid w:val="02C54CFB"/>
    <w:rsid w:val="042F174E"/>
    <w:rsid w:val="05445A00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BE96619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2017-11-01T10:50:00Z</dcterms:created>
  <dc:creator>Administrator</dc:creator>
  <cp:lastModifiedBy>Administrator</cp:lastModifiedBy>
  <dcterms:modified xsi:type="dcterms:W3CDTF">2017-11-01T12:44:12Z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