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最高人民法院</w:t>
      </w:r>
      <w:r>
        <w:rPr>
          <w:rFonts w:hint="eastAsia" w:ascii="方正小标宋简体" w:hAnsi="方正小标宋简体" w:eastAsia="方正小标宋简体" w:cs="方正小标宋简体"/>
          <w:color w:val="333333"/>
          <w:sz w:val="44"/>
          <w:szCs w:val="44"/>
          <w:shd w:val="clear" w:color="auto" w:fill="FFFFFF"/>
          <w:lang w:eastAsia="zh-CN"/>
        </w:rPr>
        <w:t>　</w:t>
      </w:r>
      <w:r>
        <w:rPr>
          <w:rFonts w:hint="eastAsia" w:ascii="方正小标宋简体" w:hAnsi="方正小标宋简体" w:eastAsia="方正小标宋简体" w:cs="方正小标宋简体"/>
          <w:color w:val="333333"/>
          <w:sz w:val="44"/>
          <w:szCs w:val="44"/>
          <w:shd w:val="clear" w:color="auto" w:fill="FFFFFF"/>
        </w:rPr>
        <w:t>最高人民检察院</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关于办理洗钱刑事案件适用法律</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若干问题的</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解释</w:t>
      </w:r>
    </w:p>
    <w:p>
      <w:pPr>
        <w:rPr>
          <w:rFonts w:ascii="Times New Roman" w:hAnsi="Times New Roman" w:eastAsia="宋体" w:cs="宋体"/>
          <w:szCs w:val="32"/>
        </w:rPr>
      </w:pPr>
    </w:p>
    <w:p>
      <w:pPr>
        <w:jc w:val="center"/>
        <w:rPr>
          <w:rFonts w:hint="default" w:ascii="Times New Roman" w:hAnsi="Times New Roman" w:eastAsia="仿宋_GB2312" w:cs="仿宋_GB2312"/>
          <w:sz w:val="32"/>
          <w:szCs w:val="32"/>
          <w:lang w:val="en-US" w:eastAsia="zh-CN"/>
        </w:rPr>
      </w:pPr>
      <w:r>
        <w:rPr>
          <w:rFonts w:hint="eastAsia" w:ascii="Times New Roman" w:hAnsi="Times New Roman" w:eastAsia="仿宋_GB2312" w:cs="仿宋_GB2312"/>
          <w:sz w:val="32"/>
          <w:szCs w:val="32"/>
          <w:lang w:val="en-US" w:eastAsia="zh-CN"/>
        </w:rPr>
        <w:t>法释〔2024〕10号</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（2023年3月20日最高人民法院审判委员会第1880次会议、2024年3月29日最高人民检察院第十四届检察委员会第二十八次会议通过，自2024年8月20日起施行）</w:t>
      </w:r>
    </w:p>
    <w:p>
      <w:pPr>
        <w:rPr>
          <w:rFonts w:ascii="Times New Roman" w:hAnsi="Times New Roman" w:eastAsia="宋体" w:cs="宋体"/>
          <w:szCs w:val="32"/>
        </w:rPr>
      </w:pPr>
    </w:p>
    <w:p>
      <w:pPr>
        <w:ind w:firstLine="632" w:firstLineChars="200"/>
        <w:rPr>
          <w:rFonts w:hint="eastAsia" w:ascii="Times New Roman" w:hAnsi="Times New Roman" w:cs="仿宋_GB2312"/>
          <w:sz w:val="32"/>
          <w:szCs w:val="32"/>
        </w:rPr>
      </w:pPr>
      <w:r>
        <w:rPr>
          <w:rFonts w:hint="eastAsia" w:ascii="Times New Roman" w:hAnsi="Times New Roman" w:cs="仿宋_GB2312"/>
          <w:sz w:val="32"/>
          <w:szCs w:val="32"/>
        </w:rPr>
        <w:t>为依法惩治洗钱犯罪活动，根据《中华人民共和国刑法》、《中华人民共和国刑事诉讼法》的规定，现就办理洗钱刑事案件适用法律的若干问题解释如下：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为掩饰、隐瞒本人实施刑法第一百九十一条规定的上游犯罪的所得及其产生的收益的来源和性质，实施该条第一款规定的洗钱行为的，依照刑法第一百九十一条的规定定罪处罚。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知道或者应当知道是他人实施刑法第一百九十一条规定的上游犯罪的所得及其产生的收益，为掩饰、隐瞒其来源和性质，实施该条第一款规定的洗钱行为的，依照刑法第一百九十一条的规定定罪处罚。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认定“知道或者应当知道”，应当根据行为人所接触、接收的信息，经手他人犯罪所得及其收益的情况，犯罪所得及其收益的种类、数额，犯罪所得及其收益的转移、转换方式，交易行为、资金账户等异常情况，结合行为人职业经历、与上游犯罪人员之间的关系以及其供述和辩解，同案人指证和证人证言等情况综合审查判断。有证据证明行为人确实不知道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将刑法第一百九十一条规定的某一上游犯罪的犯罪所得及其收益，认作该条规定的上游犯罪范围内的其他犯罪所得及其收益的，不影响“知道或者应当知道”的认定。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洗钱数额在五百万元以上的，且具有下列情形之一的，应当认定为刑法第一百九十一条规定的“情节严重”：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（一）多次实施洗钱行为的；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（二）拒不配合财物追缴，致使赃款赃物无法追缴的；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（三）造成损失二百五十万元以上的；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（四）造成其他严重后果的。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二次以上实施洗钱犯罪行为，依法应予刑事处理而未经处理的，洗钱数额累计计算。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为掩饰、隐瞒实施刑法第一百九十一条规定的上游犯罪的所得及其产生的收益的来源和性质，实施下列行为之一的，可以认定为刑法第一百九十一条第一款第五项规定的“以其他方法掩饰、隐瞒犯罪所得及其收益的来源和性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（一）通过典当、租赁、买卖、投资、拍卖、购买金融产品等方式，转移、转换犯罪所得及其收益的；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（二）通过与商场、饭店、娱乐场所等现金密集型场所的经营收入相混合的方式，转移、转换犯罪所得及其收益的；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（三）通过虚构交易、虚设债权债务、虚假担保、虚报收入等方式，转移、转换犯罪所得及其收益的；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（四）通过买卖彩票、奖券、储值卡、黄金等贵金属等方式，转换犯罪所得及其收益的；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（五）通过赌博方式，将犯罪所得及其收益转换为赌博收益的；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（六）通过“虚拟资产”交易、金融资产兑换方式，转移、转换犯罪所得及其收益的；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（七）以其他方式转移、转换犯罪所得及其收益的。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掩饰、隐瞒刑法第一百九十一条规定的上游犯罪的犯罪所得及其产生的收益，构成刑法第一百九十一条规定的洗钱罪，同时又构成刑法第三百一十二条规定的掩饰、隐瞒犯罪所得、犯罪所得收益罪的，依照刑法第一百九十一条的规定定罪处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实施刑法第一百九十一条规定的洗钱行为，构成洗钱罪，同时又构成刑法第三百四十九条、第二百二十五条、第一百七十七条之一或者第一百二十条之一规定的犯罪的，依照处罚较重的规定定罪处罚。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认定洗钱罪应当以上游犯罪事实成立为前提。有下列情形的，不影响洗钱罪的认定：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（一）上游犯罪尚未依法裁判，但有证据证明确实存在的；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（二）有证据证明上游犯罪确实存在，因行为人逃匿未到案的；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（三）有证据证明上游犯罪确实存在，因行为人死亡等原因依法不予追究刑事责任的；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（四）有证据证明上游犯罪确实存在，但同时构成其他犯罪而以其他罪名定罪处罚的。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刑法第一百九十一条规定的“黑社会性质的组织犯罪的所得及其产生的收益”，是指黑社会性质组织及其成员实施相关犯罪的所得及其产生的收益，包括黑社会性质组织的形成、发展过程中，该组织及组织成员通过违法犯罪活动聚敛的全部财物、财产性权益及其孳息、收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犯洗钱罪，判处五年以下有期徒刑或者拘役，并处或者单处罚金的，判处一万元以上罚金；判处五年以上十年以下有期徒刑的，并处二十万元以上罚金。</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符合本解释第一条、第二条的规定，行为人如实供述犯罪事实，认罪悔罪，并积极配合追缴犯罪所得及其产生的收益的，可以从轻处罚；犯罪情节轻微的，可以依法不起诉或者免予刑事处罚。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单位实施洗钱犯罪的，依照本解释规定的相应自然人犯罪的定罪量刑标准，对单位判处罚金，并对其直接负责的主管人员和其他直接责任人员定罪处罚。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本解释所称“上游犯罪”，是指刑法第一百九十一条规定的毒品犯罪、黑社会性质的组织犯罪、恐怖活动犯罪、走私犯罪、贪污贿赂犯罪、破坏金融管理秩序犯罪、金融诈骗犯罪。</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本解释自2024年8月20日起施行。《最高人民法院关于审理洗钱等刑事案件具体应用法律若干问题的解释》（法释〔2009〕15号）同时废止。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DA237CF"/>
    <w:rsid w:val="5F066F8F"/>
    <w:rsid w:val="622F12CF"/>
    <w:rsid w:val="67A228A8"/>
    <w:rsid w:val="69623539"/>
    <w:rsid w:val="6A2E56A6"/>
    <w:rsid w:val="6A464C09"/>
    <w:rsid w:val="6C552A97"/>
    <w:rsid w:val="6D384E6C"/>
    <w:rsid w:val="7133370F"/>
    <w:rsid w:val="72B92643"/>
    <w:rsid w:val="730257DC"/>
    <w:rsid w:val="775E649E"/>
    <w:rsid w:val="7BB07870"/>
    <w:rsid w:val="7E541E2C"/>
    <w:rsid w:val="7F82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202</Words>
  <Characters>219</Characters>
  <Lines>87</Lines>
  <Paragraphs>24</Paragraphs>
  <TotalTime>17</TotalTime>
  <ScaleCrop>false</ScaleCrop>
  <LinksUpToDate>false</LinksUpToDate>
  <CharactersWithSpaces>221</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2024-10-08T07:18:02Z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C6E45C371D5A49E5BE7CBC9738639167_13</vt:lpwstr>
  </property>
  <property fmtid="{D5CDD505-2E9C-101B-9397-08002B2CF9AE}" pid="3" name="KSOProductBuildVer">
    <vt:lpwstr>2052-12.1.0.15990</vt:lpwstr>
  </property>
</Properties>
</file>