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firstLine="640"/>
      </w:pPr>
    </w:p>
    <w:p>
      <w:pPr>
        <w:pStyle w:val="16"/>
        <w:ind w:firstLine="640"/>
      </w:pPr>
    </w:p>
    <w:p>
      <w:pPr>
        <w:pStyle w:val="13"/>
      </w:pPr>
      <w:r>
        <w:rPr>
          <w:rFonts w:hint="eastAsia"/>
        </w:rPr>
        <w:t>最高人民法院</w:t>
      </w:r>
      <w:r>
        <w:rPr>
          <w:rFonts w:hint="eastAsia"/>
          <w:lang w:val="en-US" w:eastAsia="zh-CN"/>
        </w:rPr>
        <w:t xml:space="preserve">  </w:t>
      </w:r>
      <w:r>
        <w:rPr>
          <w:rFonts w:hint="eastAsia"/>
        </w:rPr>
        <w:t>最高人民检察院</w:t>
      </w:r>
    </w:p>
    <w:p>
      <w:pPr>
        <w:pStyle w:val="13"/>
      </w:pPr>
      <w:r>
        <w:rPr>
          <w:rFonts w:hint="eastAsia"/>
        </w:rPr>
        <w:t>关于办理海洋自然资源与生态环境公益诉讼案件若干问题的规定</w:t>
      </w:r>
    </w:p>
    <w:p>
      <w:pPr>
        <w:pStyle w:val="16"/>
        <w:ind w:firstLine="640"/>
      </w:pPr>
    </w:p>
    <w:p>
      <w:pPr>
        <w:pStyle w:val="14"/>
      </w:pPr>
      <w:r>
        <w:rPr>
          <w:rFonts w:hint="eastAsia"/>
        </w:rPr>
        <w:t>法释〔2022〕15号</w:t>
      </w:r>
    </w:p>
    <w:p>
      <w:pPr>
        <w:pStyle w:val="16"/>
        <w:ind w:firstLine="640"/>
      </w:pPr>
    </w:p>
    <w:p>
      <w:pPr>
        <w:pStyle w:val="16"/>
        <w:ind w:firstLine="640"/>
      </w:pPr>
      <w:r>
        <w:rPr>
          <w:rFonts w:hint="eastAsia"/>
        </w:rPr>
        <w:t>为依法办理海洋自然资源与生态环境公益诉讼案件，根据《中华人民共和国海洋环境保护法》《中华人民共和国民事诉讼法》《中华人民共和国刑事诉讼法》《中华人民共和国行政诉讼法》《中华人民共和国海事</w:t>
      </w:r>
      <w:bookmarkStart w:id="0" w:name="_GoBack"/>
      <w:bookmarkEnd w:id="0"/>
      <w:r>
        <w:rPr>
          <w:rFonts w:hint="eastAsia"/>
        </w:rPr>
        <w:t>诉讼特别程序法》等法律规定，结合审判、检察工作实际，制定本规定。</w:t>
      </w:r>
    </w:p>
    <w:p>
      <w:pPr>
        <w:pStyle w:val="16"/>
        <w:ind w:firstLine="640"/>
      </w:pPr>
      <w:r>
        <w:rPr>
          <w:rStyle w:val="17"/>
          <w:rFonts w:hint="eastAsia"/>
        </w:rPr>
        <w:t>第一条　</w:t>
      </w:r>
      <w:r>
        <w:rPr>
          <w:rFonts w:hint="eastAsia"/>
        </w:rPr>
        <w:t>本规定适用于损害行为发生地、损害结果地或者采取预防措施地在海洋环境保护法第二条第一款规定的海域内，因破坏海洋生态、海洋水产资源、海洋保护区而提起的民事公益诉讼、刑事附带民事公益诉讼和行政公益诉讼。</w:t>
      </w:r>
    </w:p>
    <w:p>
      <w:pPr>
        <w:pStyle w:val="16"/>
        <w:ind w:firstLine="640"/>
      </w:pPr>
      <w:r>
        <w:rPr>
          <w:rStyle w:val="17"/>
          <w:rFonts w:hint="eastAsia"/>
        </w:rPr>
        <w:t>第二条　</w:t>
      </w:r>
      <w:r>
        <w:rPr>
          <w:rFonts w:hint="eastAsia"/>
        </w:rPr>
        <w:t>依据海洋环境保护法第八十九条第二款规定，对破坏海洋生态、海洋水产资源、海洋保护区，给国家造成重大损失的，应当由依照海洋环境保护法规定行使海洋环境监督管理权的部门，在有管辖权的海事法院对侵权人提起海洋自然资源与生态环境损害赔偿诉讼。</w:t>
      </w:r>
    </w:p>
    <w:p>
      <w:pPr>
        <w:pStyle w:val="16"/>
        <w:ind w:firstLine="640"/>
      </w:pPr>
      <w:r>
        <w:rPr>
          <w:rFonts w:hint="eastAsia"/>
        </w:rPr>
        <w:t>有关部门根据职能分工提起海洋自然资源与生态环境损害赔偿诉讼的，人民检察院可以支持起诉。</w:t>
      </w:r>
    </w:p>
    <w:p>
      <w:pPr>
        <w:pStyle w:val="16"/>
        <w:ind w:firstLine="640"/>
      </w:pPr>
      <w:r>
        <w:rPr>
          <w:rStyle w:val="17"/>
          <w:rFonts w:hint="eastAsia"/>
        </w:rPr>
        <w:t>第三条　</w:t>
      </w:r>
      <w:r>
        <w:rPr>
          <w:rFonts w:hint="eastAsia"/>
        </w:rPr>
        <w:t>人民检察院在履行职责中发现破坏海洋生态、海洋水产资源、海洋保护区的行为，可以告知行使海洋环境监督管理权的部门依据本规定第二条提起诉讼。在有关部门仍不提起诉讼的情况下，人民检察院就海洋自然资源与生态环境损害，向有管辖权的海事法院提起民事公益诉讼的，海事法院应予受理。</w:t>
      </w:r>
    </w:p>
    <w:p>
      <w:pPr>
        <w:pStyle w:val="16"/>
        <w:ind w:firstLine="640"/>
      </w:pPr>
      <w:r>
        <w:rPr>
          <w:rStyle w:val="17"/>
          <w:rFonts w:hint="eastAsia"/>
        </w:rPr>
        <w:t>第四条　</w:t>
      </w:r>
      <w:r>
        <w:rPr>
          <w:rFonts w:hint="eastAsia"/>
        </w:rPr>
        <w:t>破坏海洋生态、海洋水产资源、海洋保护区，涉嫌犯罪的，在行使海洋环境监督管理权的部门没有另行提起海洋自然资源与生态环境损害赔偿诉讼的情况下，人民检察院可以在提起刑事公诉时一并提起附带民事公益诉讼，也可以单独提起民事公益诉讼。</w:t>
      </w:r>
    </w:p>
    <w:p>
      <w:pPr>
        <w:pStyle w:val="16"/>
        <w:ind w:firstLine="640"/>
      </w:pPr>
      <w:r>
        <w:rPr>
          <w:rStyle w:val="17"/>
          <w:rFonts w:hint="eastAsia"/>
        </w:rPr>
        <w:t>第五条　</w:t>
      </w:r>
      <w:r>
        <w:rPr>
          <w:rFonts w:hint="eastAsia"/>
        </w:rPr>
        <w:t>人民检察院在履行职责中发现对破坏海洋生态、海洋水产资源、海洋保护区的行为负有监督管理职责的部门违法行使职权或者不作为，致使国家利益或者社会公共利益受到侵害的，应当向有关部门提出检察建议,督促其依法履行职责。</w:t>
      </w:r>
    </w:p>
    <w:p>
      <w:pPr>
        <w:pStyle w:val="16"/>
        <w:ind w:firstLine="640"/>
      </w:pPr>
      <w:r>
        <w:rPr>
          <w:rFonts w:hint="eastAsia"/>
        </w:rPr>
        <w:t>有关部门不依法履行职责的，人民检察院依法向被诉行政机关所在地的海事法院提起行政公益诉讼。</w:t>
      </w:r>
    </w:p>
    <w:p>
      <w:pPr>
        <w:pStyle w:val="16"/>
        <w:ind w:firstLine="640"/>
      </w:pPr>
      <w:r>
        <w:rPr>
          <w:rStyle w:val="17"/>
          <w:rFonts w:hint="eastAsia"/>
        </w:rPr>
        <w:t>第六条　</w:t>
      </w:r>
      <w:r>
        <w:rPr>
          <w:rFonts w:hint="eastAsia"/>
        </w:rPr>
        <w:t>本规定自2022年5月15日起施行。</w:t>
      </w: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left="-378"/>
    </w:pPr>
    <w:r>
      <w:fldChar w:fldCharType="begin"/>
    </w:r>
    <w:r>
      <w:instrText xml:space="preserve"> PAGE  \* ArabicDash  \* MERGEFORMAT </w:instrText>
    </w:r>
    <w:r>
      <w:fldChar w:fldCharType="separate"/>
    </w:r>
    <w:r>
      <w:t>- 3 -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78"/>
    </w:pPr>
    <w:r>
      <w:fldChar w:fldCharType="begin"/>
    </w:r>
    <w:r>
      <w:instrText xml:space="preserve"> PAGE  \* ArabicDash  \* MERGEFORMAT </w:instrText>
    </w:r>
    <w:r>
      <w:fldChar w:fldCharType="separate"/>
    </w:r>
    <w:r>
      <w:t>- 2 -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52EF"/>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1F7F88"/>
    <w:rsid w:val="002064F7"/>
    <w:rsid w:val="00206B2B"/>
    <w:rsid w:val="00215837"/>
    <w:rsid w:val="0021638E"/>
    <w:rsid w:val="002216B9"/>
    <w:rsid w:val="00230E79"/>
    <w:rsid w:val="0023259F"/>
    <w:rsid w:val="00233F94"/>
    <w:rsid w:val="00235183"/>
    <w:rsid w:val="00241E35"/>
    <w:rsid w:val="002428F9"/>
    <w:rsid w:val="00243F11"/>
    <w:rsid w:val="00245BB3"/>
    <w:rsid w:val="00253813"/>
    <w:rsid w:val="00254E9D"/>
    <w:rsid w:val="0025742F"/>
    <w:rsid w:val="00257AC6"/>
    <w:rsid w:val="002671B1"/>
    <w:rsid w:val="00271C80"/>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431D"/>
    <w:rsid w:val="00311EB0"/>
    <w:rsid w:val="00313AEE"/>
    <w:rsid w:val="0031621E"/>
    <w:rsid w:val="00317127"/>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356E"/>
    <w:rsid w:val="004358E6"/>
    <w:rsid w:val="00440B14"/>
    <w:rsid w:val="004418B3"/>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F1B3D"/>
    <w:rsid w:val="005F2985"/>
    <w:rsid w:val="00602816"/>
    <w:rsid w:val="00604ACB"/>
    <w:rsid w:val="00606C5B"/>
    <w:rsid w:val="00612F03"/>
    <w:rsid w:val="006171AA"/>
    <w:rsid w:val="00617304"/>
    <w:rsid w:val="006178C3"/>
    <w:rsid w:val="00621BAF"/>
    <w:rsid w:val="0062410E"/>
    <w:rsid w:val="00626CE8"/>
    <w:rsid w:val="0064737F"/>
    <w:rsid w:val="00661621"/>
    <w:rsid w:val="00663037"/>
    <w:rsid w:val="006711F4"/>
    <w:rsid w:val="00673E88"/>
    <w:rsid w:val="006744EA"/>
    <w:rsid w:val="0068140B"/>
    <w:rsid w:val="00684B33"/>
    <w:rsid w:val="00685825"/>
    <w:rsid w:val="006869CB"/>
    <w:rsid w:val="0069347C"/>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165B"/>
    <w:rsid w:val="0075447F"/>
    <w:rsid w:val="00754A2D"/>
    <w:rsid w:val="007643CE"/>
    <w:rsid w:val="00766157"/>
    <w:rsid w:val="00767F68"/>
    <w:rsid w:val="0077490A"/>
    <w:rsid w:val="007775EF"/>
    <w:rsid w:val="00787E3C"/>
    <w:rsid w:val="007940D5"/>
    <w:rsid w:val="00796D7F"/>
    <w:rsid w:val="007A0EC4"/>
    <w:rsid w:val="007A51E0"/>
    <w:rsid w:val="007A6544"/>
    <w:rsid w:val="007A7FD3"/>
    <w:rsid w:val="007B2410"/>
    <w:rsid w:val="007C01D1"/>
    <w:rsid w:val="007C5705"/>
    <w:rsid w:val="007D13B8"/>
    <w:rsid w:val="007D77CE"/>
    <w:rsid w:val="007F5CC1"/>
    <w:rsid w:val="00802CDC"/>
    <w:rsid w:val="00805E1D"/>
    <w:rsid w:val="00813FEC"/>
    <w:rsid w:val="00814E29"/>
    <w:rsid w:val="008230BD"/>
    <w:rsid w:val="00823C1E"/>
    <w:rsid w:val="00826135"/>
    <w:rsid w:val="00826D77"/>
    <w:rsid w:val="0083338D"/>
    <w:rsid w:val="00855283"/>
    <w:rsid w:val="008701AB"/>
    <w:rsid w:val="0087139A"/>
    <w:rsid w:val="00871D0F"/>
    <w:rsid w:val="008760A5"/>
    <w:rsid w:val="00877798"/>
    <w:rsid w:val="008802DB"/>
    <w:rsid w:val="00881967"/>
    <w:rsid w:val="00885F48"/>
    <w:rsid w:val="00890F76"/>
    <w:rsid w:val="0089274E"/>
    <w:rsid w:val="008979B8"/>
    <w:rsid w:val="008A08FA"/>
    <w:rsid w:val="008C0131"/>
    <w:rsid w:val="008E70E5"/>
    <w:rsid w:val="008F50DB"/>
    <w:rsid w:val="008F5238"/>
    <w:rsid w:val="008F7723"/>
    <w:rsid w:val="00904BC8"/>
    <w:rsid w:val="00911248"/>
    <w:rsid w:val="00913A4E"/>
    <w:rsid w:val="00920305"/>
    <w:rsid w:val="00925F75"/>
    <w:rsid w:val="00941BBC"/>
    <w:rsid w:val="00961AAB"/>
    <w:rsid w:val="00971108"/>
    <w:rsid w:val="0097410F"/>
    <w:rsid w:val="00974280"/>
    <w:rsid w:val="00974393"/>
    <w:rsid w:val="0097704C"/>
    <w:rsid w:val="00986E71"/>
    <w:rsid w:val="00992211"/>
    <w:rsid w:val="009942EB"/>
    <w:rsid w:val="009A1862"/>
    <w:rsid w:val="009A78E1"/>
    <w:rsid w:val="009A7FCF"/>
    <w:rsid w:val="009B548C"/>
    <w:rsid w:val="009B654F"/>
    <w:rsid w:val="009C2E6C"/>
    <w:rsid w:val="009D18B6"/>
    <w:rsid w:val="009E6F62"/>
    <w:rsid w:val="009E7F86"/>
    <w:rsid w:val="009F1030"/>
    <w:rsid w:val="009F1B6D"/>
    <w:rsid w:val="00A02039"/>
    <w:rsid w:val="00A039AC"/>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06BB4"/>
    <w:rsid w:val="00B13F2A"/>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171D8"/>
    <w:rsid w:val="00D21DEB"/>
    <w:rsid w:val="00D328DE"/>
    <w:rsid w:val="00D3514F"/>
    <w:rsid w:val="00D5052C"/>
    <w:rsid w:val="00D52071"/>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03BB"/>
    <w:rsid w:val="00FF402A"/>
    <w:rsid w:val="00FF690A"/>
    <w:rsid w:val="1A900957"/>
    <w:rsid w:val="645340A2"/>
    <w:rsid w:val="6ECF475D"/>
    <w:rsid w:val="775B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qFormat/>
    <w:uiPriority w:val="0"/>
    <w:pP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uiPriority w:val="0"/>
    <w:rPr>
      <w:kern w:val="2"/>
      <w:sz w:val="18"/>
      <w:szCs w:val="18"/>
    </w:rPr>
  </w:style>
  <w:style w:type="character" w:customStyle="1" w:styleId="11">
    <w:name w:val="批注框文本 Char"/>
    <w:basedOn w:val="7"/>
    <w:link w:val="3"/>
    <w:uiPriority w:val="0"/>
    <w:rPr>
      <w:kern w:val="2"/>
      <w:sz w:val="18"/>
      <w:szCs w:val="18"/>
    </w:rPr>
  </w:style>
  <w:style w:type="character" w:customStyle="1" w:styleId="12">
    <w:name w:val="纯文本 Char"/>
    <w:basedOn w:val="7"/>
    <w:link w:val="2"/>
    <w:uiPriority w:val="99"/>
    <w:rPr>
      <w:rFonts w:ascii="宋体" w:hAnsi="Courier New" w:cs="Courier New"/>
      <w:kern w:val="2"/>
      <w:sz w:val="21"/>
      <w:szCs w:val="21"/>
    </w:rPr>
  </w:style>
  <w:style w:type="paragraph" w:customStyle="1" w:styleId="13">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4">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5">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6">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7">
    <w:name w:val="黑体　三号"/>
    <w:basedOn w:val="7"/>
    <w:qFormat/>
    <w:uiPriority w:val="1"/>
    <w:rPr>
      <w:rFonts w:eastAsia="黑体"/>
      <w:sz w:val="32"/>
    </w:rPr>
  </w:style>
  <w:style w:type="paragraph" w:customStyle="1" w:styleId="18">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19">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8AE64-1B5D-4FF2-9B1E-ECC91B8FFA09}">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918</Words>
  <Characters>942</Characters>
  <Lines>6</Lines>
  <Paragraphs>1</Paragraphs>
  <TotalTime>8</TotalTime>
  <ScaleCrop>false</ScaleCrop>
  <LinksUpToDate>false</LinksUpToDate>
  <CharactersWithSpaces>950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2022-05-10T06:46:00Z</dcterms:created>
  <dc:creator>Lenovo User</dc:creator>
  <cp:lastModifiedBy>爱思思</cp:lastModifiedBy>
  <cp:lastPrinted>2014-04-03T09:04:00Z</cp:lastPrinted>
  <dcterms:modified xsi:type="dcterms:W3CDTF">2022-10-26T01:25:54Z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FED25163A3114D68A205DA576A8B3A33</vt:lpwstr>
  </property>
</Properties>
</file>