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60" w:lineRule="exact"/>
        <w:ind w:firstLine="640" w:firstLineChars="200"/>
        <w:rPr>
          <w:rFonts w:ascii="仿宋_GB2312" w:hAnsi="宋体" w:eastAsia="仿宋_GB2312" w:cs="宋体"/>
          <w:sz w:val="32"/>
          <w:szCs w:val="32"/>
        </w:rPr>
      </w:pPr>
    </w:p>
    <w:p>
      <w:pPr>
        <w:pStyle w:val="2"/>
        <w:spacing w:line="560" w:lineRule="exact"/>
        <w:ind w:firstLine="640" w:firstLineChars="200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 xml:space="preserve"> </w:t>
      </w:r>
    </w:p>
    <w:p>
      <w:pPr>
        <w:pStyle w:val="2"/>
        <w:spacing w:line="560" w:lineRule="exact"/>
        <w:jc w:val="center"/>
        <w:rPr>
          <w:rFonts w:hAnsi="宋体" w:cs="宋体"/>
          <w:sz w:val="44"/>
          <w:szCs w:val="44"/>
        </w:rPr>
      </w:pPr>
      <w:r>
        <w:rPr>
          <w:rFonts w:hint="eastAsia" w:hAnsi="宋体" w:cs="宋体"/>
          <w:sz w:val="44"/>
          <w:szCs w:val="44"/>
        </w:rPr>
        <w:t>最高人民法院</w:t>
      </w:r>
      <w:r>
        <w:rPr>
          <w:rFonts w:hint="eastAsia" w:hAnsi="宋体" w:cs="宋体"/>
          <w:sz w:val="44"/>
          <w:szCs w:val="44"/>
          <w:lang w:eastAsia="zh-CN"/>
        </w:rPr>
        <w:t>、</w:t>
      </w:r>
      <w:bookmarkStart w:id="0" w:name="_GoBack"/>
      <w:bookmarkEnd w:id="0"/>
      <w:r>
        <w:rPr>
          <w:rFonts w:hint="eastAsia" w:hAnsi="宋体" w:cs="宋体"/>
          <w:sz w:val="44"/>
          <w:szCs w:val="44"/>
        </w:rPr>
        <w:t>最高人民检察院</w:t>
      </w:r>
    </w:p>
    <w:p>
      <w:pPr>
        <w:pStyle w:val="2"/>
        <w:spacing w:line="560" w:lineRule="exact"/>
        <w:jc w:val="center"/>
        <w:rPr>
          <w:rFonts w:hAnsi="宋体" w:cs="宋体"/>
          <w:sz w:val="44"/>
          <w:szCs w:val="44"/>
        </w:rPr>
      </w:pPr>
      <w:r>
        <w:rPr>
          <w:rFonts w:hint="eastAsia" w:hAnsi="宋体" w:cs="宋体"/>
          <w:sz w:val="44"/>
          <w:szCs w:val="44"/>
        </w:rPr>
        <w:t>关于执行《中华人民共和国刑法》</w:t>
      </w:r>
    </w:p>
    <w:p>
      <w:pPr>
        <w:pStyle w:val="2"/>
        <w:spacing w:line="560" w:lineRule="exact"/>
        <w:jc w:val="center"/>
        <w:rPr>
          <w:rFonts w:hAnsi="宋体" w:cs="宋体"/>
          <w:sz w:val="44"/>
          <w:szCs w:val="44"/>
        </w:rPr>
      </w:pPr>
      <w:r>
        <w:rPr>
          <w:rFonts w:hint="eastAsia" w:hAnsi="宋体" w:cs="宋体"/>
          <w:sz w:val="44"/>
          <w:szCs w:val="44"/>
        </w:rPr>
        <w:t>确定罪名的补充规定（七）</w:t>
      </w:r>
    </w:p>
    <w:p>
      <w:pPr>
        <w:pStyle w:val="2"/>
        <w:spacing w:line="560" w:lineRule="exact"/>
        <w:jc w:val="center"/>
        <w:rPr>
          <w:rFonts w:hAnsi="宋体" w:cs="宋体"/>
          <w:sz w:val="44"/>
          <w:szCs w:val="44"/>
        </w:rPr>
      </w:pPr>
    </w:p>
    <w:p>
      <w:pPr>
        <w:pStyle w:val="2"/>
        <w:spacing w:line="560" w:lineRule="exact"/>
        <w:jc w:val="center"/>
        <w:rPr>
          <w:rFonts w:ascii="楷体_GB2312" w:hAnsi="宋体" w:eastAsia="楷体_GB2312" w:cs="宋体"/>
          <w:sz w:val="32"/>
          <w:szCs w:val="32"/>
        </w:rPr>
      </w:pPr>
      <w:r>
        <w:rPr>
          <w:rFonts w:hint="eastAsia" w:ascii="楷体_GB2312" w:hAnsi="宋体" w:eastAsia="楷体_GB2312" w:cs="宋体"/>
          <w:sz w:val="32"/>
          <w:szCs w:val="32"/>
        </w:rPr>
        <w:t>法释〔2021〕2号</w:t>
      </w:r>
    </w:p>
    <w:p>
      <w:pPr>
        <w:pStyle w:val="2"/>
        <w:spacing w:line="520" w:lineRule="exact"/>
        <w:jc w:val="center"/>
        <w:rPr>
          <w:rFonts w:ascii="华文中宋" w:hAnsi="华文中宋" w:eastAsia="华文中宋" w:cs="宋体"/>
          <w:sz w:val="32"/>
          <w:szCs w:val="32"/>
        </w:rPr>
      </w:pPr>
    </w:p>
    <w:p>
      <w:pPr>
        <w:pStyle w:val="2"/>
        <w:spacing w:line="560" w:lineRule="exact"/>
        <w:ind w:left="630" w:leftChars="300" w:right="630" w:rightChars="300"/>
        <w:rPr>
          <w:rFonts w:ascii="楷体_GB2312" w:hAnsi="宋体" w:eastAsia="楷体_GB2312" w:cs="宋体"/>
          <w:sz w:val="32"/>
          <w:szCs w:val="32"/>
        </w:rPr>
      </w:pPr>
      <w:r>
        <w:rPr>
          <w:rFonts w:hint="eastAsia" w:ascii="楷体_GB2312" w:hAnsi="宋体" w:eastAsia="楷体_GB2312" w:cs="宋体"/>
          <w:sz w:val="32"/>
          <w:szCs w:val="32"/>
        </w:rPr>
        <w:t>（2021年2月22日最高人民法院审判委员会</w:t>
      </w:r>
    </w:p>
    <w:p>
      <w:pPr>
        <w:pStyle w:val="2"/>
        <w:spacing w:line="560" w:lineRule="exact"/>
        <w:ind w:left="630" w:leftChars="300" w:right="630" w:rightChars="300"/>
        <w:rPr>
          <w:rFonts w:ascii="楷体_GB2312" w:hAnsi="宋体" w:eastAsia="楷体_GB2312" w:cs="宋体"/>
          <w:sz w:val="32"/>
          <w:szCs w:val="32"/>
        </w:rPr>
      </w:pPr>
      <w:r>
        <w:rPr>
          <w:rFonts w:hint="eastAsia" w:ascii="楷体_GB2312" w:hAnsi="宋体" w:eastAsia="楷体_GB2312" w:cs="宋体"/>
          <w:sz w:val="32"/>
          <w:szCs w:val="32"/>
        </w:rPr>
        <w:t>第1832次会议、2021年2月26日最高人民检察院</w:t>
      </w:r>
    </w:p>
    <w:p>
      <w:pPr>
        <w:pStyle w:val="2"/>
        <w:spacing w:line="560" w:lineRule="exact"/>
        <w:ind w:left="630" w:leftChars="300" w:right="630" w:rightChars="300"/>
        <w:rPr>
          <w:rFonts w:ascii="楷体_GB2312" w:hAnsi="宋体" w:eastAsia="楷体_GB2312" w:cs="宋体"/>
          <w:sz w:val="32"/>
          <w:szCs w:val="32"/>
        </w:rPr>
      </w:pPr>
      <w:r>
        <w:rPr>
          <w:rFonts w:hint="eastAsia" w:ascii="楷体_GB2312" w:hAnsi="宋体" w:eastAsia="楷体_GB2312" w:cs="宋体"/>
          <w:sz w:val="32"/>
          <w:szCs w:val="32"/>
        </w:rPr>
        <w:t>第十三届检察委员会第六十三次会议通过）</w:t>
      </w:r>
    </w:p>
    <w:p>
      <w:pPr>
        <w:pStyle w:val="2"/>
        <w:rPr>
          <w:rFonts w:hAnsi="宋体" w:cs="宋体"/>
          <w:sz w:val="32"/>
          <w:szCs w:val="32"/>
        </w:rPr>
      </w:pPr>
    </w:p>
    <w:p>
      <w:pPr>
        <w:pStyle w:val="2"/>
        <w:spacing w:line="520" w:lineRule="exac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 xml:space="preserve">    根据《中华人民共和国刑法修正案（十）》（以下简称《刑法修正案（十）》）、《中华人民共和国刑法修正案（十一）》（以下简称《刑法修正案（十一）》），结合司法实践反映的情况，现对《最高人民法院关于执行〈中华人民共和国刑法〉确定罪名的规定》《最高人民检察院关于适用刑法分则规定的犯罪的罪名的意见》作如下补充、修改：</w:t>
      </w:r>
    </w:p>
    <w:p>
      <w:pPr>
        <w:ind w:firstLine="800" w:firstLineChars="250"/>
        <w:rPr>
          <w:rFonts w:ascii="仿宋_GB2312" w:hAnsi="Calibri" w:eastAsia="仿宋_GB2312"/>
          <w:sz w:val="32"/>
          <w:szCs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ind w:firstLine="800" w:firstLineChars="250"/>
        <w:rPr>
          <w:rFonts w:ascii="仿宋_GB2312" w:hAnsi="Calibri" w:eastAsia="仿宋_GB2312"/>
          <w:sz w:val="32"/>
          <w:szCs w:val="32"/>
        </w:rPr>
      </w:pPr>
    </w:p>
    <w:p>
      <w:pPr>
        <w:rPr>
          <w:rFonts w:ascii="Calibri" w:hAnsi="Calibri"/>
          <w:vanish/>
          <w:sz w:val="32"/>
          <w:szCs w:val="32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077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 w:cs="等线"/>
                <w:b/>
                <w:color w:val="333333"/>
                <w:spacing w:val="7"/>
                <w:kern w:val="0"/>
                <w:sz w:val="24"/>
              </w:rPr>
              <w:t>刑法条文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 w:cs="等线"/>
                <w:b/>
                <w:color w:val="333333"/>
                <w:spacing w:val="7"/>
                <w:kern w:val="0"/>
                <w:sz w:val="24"/>
              </w:rPr>
              <w:t>罪名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第一百三十三条之二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（《刑法修正案（十一）》第二条）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妨害安全驾驶罪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第一百三十四条第二款</w:t>
            </w:r>
          </w:p>
          <w:p>
            <w:pPr>
              <w:widowControl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（《刑法修正案（十一）》第三条）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强令、组织他人违章冒险作业罪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（取消强令违章冒险作业罪罪名）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第一百三十四条之一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（《刑法修正案（十一）》第四条）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危险作业罪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第一百四十一条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（《刑法修正案（十一）》第五条）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生产、销售、提供假药罪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（取消生产、销售假药罪罪名）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第一百四十二条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（《刑法修正案（十一）》第六条）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生产、销售、提供劣药罪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（取消生产、销售劣药罪罪名）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第一百四十二条之一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（《刑法修正案（十一）》第七条）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妨害药品管理罪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第一百六十条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（《刑法修正案（十一）》第八条）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欺诈发行证券罪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（取消欺诈发行股票、债券罪罪名）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第二百一十九条之一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（《刑法修正案（十一）》第二十三条）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为境外窃取、刺探、收买、非法提供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商业秘密罪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第二百三十六条之一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（《刑法修正案（十一）》第二十七条）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负有照护职责人员性侵罪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第二百七十七条第五款</w:t>
            </w:r>
          </w:p>
          <w:p>
            <w:pPr>
              <w:widowControl/>
              <w:wordWrap w:val="0"/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（《刑法修正案（十一）》第三十一条）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袭警罪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第二百八十条之二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（《刑法修正案（十一）》第三十二条）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冒名顶替罪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ind w:firstLine="127" w:firstLineChars="5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第二百九十一条之二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（《刑法修正案（十一）》第三十三条）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高空抛物罪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第二百九十三条之一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（《刑法修正案（十一）》第三十四条）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催收非法债务罪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第二百九十九条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（《刑法修正案（十》）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侮辱国旗、国徽、国歌罪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（取消侮辱国旗、国徽罪罪名）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第二百九十九条之一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（《刑法修正案（十一）》第三十五条）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侵害英雄烈士名誉、荣誉罪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第三百零三条第三款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（《刑法修正案（十一）》第三十六条）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组织参与国（境）外赌博罪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第三百三十四条之一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（《刑法修正案（十一）》第三十八条）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非法采集人类遗传资源、走私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人类遗传资源材料罪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第三百三十六条之一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（《刑法修正案（十一）》第三十九条）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非法植入基因编辑、克隆胚胎罪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第三百四十一条第一款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危害珍贵、濒危野生动物罪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（取消非法猎捕、杀害珍贵、濒危野生动物罪和非法收购、运输、出售珍贵、濒危野生动物、珍贵、濒危野生动物制品罪罪名）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第三百四十一条第三款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</w:t>
            </w:r>
            <w:r>
              <w:rPr>
                <w:rFonts w:hint="eastAsia" w:ascii="Calibri" w:hAnsi="Calibri"/>
                <w:sz w:val="24"/>
              </w:rPr>
              <w:t>《刑法修正案（十一）》第四十一条</w:t>
            </w:r>
            <w:r>
              <w:rPr>
                <w:rFonts w:hint="eastAsia" w:ascii="宋体" w:hAnsi="宋体" w:cs="等线"/>
                <w:spacing w:val="7"/>
                <w:sz w:val="24"/>
              </w:rPr>
              <w:t>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非法猎捕、收购、运输、出售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陆生野生动物罪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第三百四十二条之一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（《刑法修正案（十一）》第四十二条）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color w:val="FF0000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破坏自然保护地罪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第三百四十四条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危害国家重点保护植物罪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（取消非法采伐、毁坏国家重点保护植物罪和非法收购、运输、加工、出售国家重点保护植物、国家重点保护植物制品罪罪名）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第三百四十四条之一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（《刑法修正案（十一）》第四十三条）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非法引进、释放、丢弃外来入侵物种罪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第三百五十五条之一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（《刑法修正案（十一）》第四十四条）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妨害兴奋剂管理罪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shd w:val="clear" w:color="auto" w:fill="auto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第四百零八条之一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（《刑法修正案（十一）》第四十五条）</w:t>
            </w:r>
          </w:p>
        </w:tc>
        <w:tc>
          <w:tcPr>
            <w:tcW w:w="4445" w:type="dxa"/>
            <w:shd w:val="clear" w:color="auto" w:fill="auto"/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食品、药品监管渎职罪</w:t>
            </w:r>
          </w:p>
          <w:p>
            <w:pPr>
              <w:widowControl/>
              <w:wordWrap w:val="0"/>
              <w:jc w:val="center"/>
              <w:rPr>
                <w:rFonts w:ascii="宋体" w:hAnsi="宋体" w:cs="等线"/>
                <w:spacing w:val="7"/>
                <w:sz w:val="24"/>
              </w:rPr>
            </w:pPr>
            <w:r>
              <w:rPr>
                <w:rFonts w:hint="eastAsia" w:ascii="宋体" w:hAnsi="宋体" w:cs="等线"/>
                <w:spacing w:val="7"/>
                <w:sz w:val="24"/>
              </w:rPr>
              <w:t>（取消食品监管渎职罪罪名）</w:t>
            </w:r>
          </w:p>
        </w:tc>
      </w:tr>
    </w:tbl>
    <w:p>
      <w:pPr>
        <w:ind w:firstLine="405"/>
        <w:rPr>
          <w:rFonts w:ascii="仿宋_GB2312" w:hAnsi="Calibri" w:eastAsia="仿宋_GB2312"/>
          <w:sz w:val="32"/>
          <w:szCs w:val="32"/>
        </w:rPr>
      </w:pPr>
      <w:r>
        <w:rPr>
          <w:rFonts w:hint="eastAsia" w:ascii="仿宋_GB2312" w:hAnsi="Calibri" w:eastAsia="仿宋_GB2312"/>
          <w:sz w:val="32"/>
          <w:szCs w:val="32"/>
        </w:rPr>
        <w:t>本规定自2021年3月1日起施行。</w:t>
      </w:r>
    </w:p>
    <w:p>
      <w:pPr>
        <w:pStyle w:val="2"/>
        <w:spacing w:line="520" w:lineRule="exact"/>
        <w:rPr>
          <w:rFonts w:hAnsi="宋体" w:cs="宋体"/>
          <w:sz w:val="32"/>
          <w:szCs w:val="32"/>
          <w:u w:val="single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-151765</wp:posOffset>
              </wp:positionV>
              <wp:extent cx="588645" cy="3397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8"/>
                            </w:rPr>
                          </w:pPr>
                          <w:r>
                            <w:rPr>
                              <w:rStyle w:val="8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8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Style w:val="8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  <w:rFonts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Style w:val="8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1.95pt;height:26.75pt;width:46.35pt;mso-position-horizontal:outside;mso-position-horizontal-relative:margin;z-index:251659264;mso-width-relative:page;mso-height-relative:page;" filled="f" stroked="f" coordsize="21600,21600" o:gfxdata="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H6S2tYAAAAGAQAADwAAAAAAAAABACAAAAAiAAAAZHJzL2Rvd25yZXYueG1sUEsBAhQA&#10;FAAAAAgAh07iQGPE/RK7AQAAcQMAAA4AAAAAAAAAAQAgAAAAJQEAAGRycy9lMm9Eb2MueG1sUEsF&#10;BgAAAAAGAAYAWQEAAFI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rPr>
                        <w:rStyle w:val="8"/>
                      </w:rPr>
                    </w:pPr>
                    <w:r>
                      <w:rPr>
                        <w:rStyle w:val="8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8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Style w:val="8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8"/>
                        <w:rFonts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Style w:val="8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-151765</wp:posOffset>
              </wp:positionV>
              <wp:extent cx="588645" cy="339725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8"/>
                            </w:rPr>
                          </w:pPr>
                          <w:r>
                            <w:rPr>
                              <w:rStyle w:val="8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8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Style w:val="8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8"/>
                              <w:rFonts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- 3 -</w:t>
                          </w:r>
                          <w:r>
                            <w:rPr>
                              <w:rStyle w:val="8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11.95pt;height:26.75pt;width:46.35pt;mso-position-horizontal:outside;mso-position-horizontal-relative:margin;z-index:251660288;mso-width-relative:page;mso-height-relative:page;" filled="f" stroked="f" coordsize="21600,21600" o:gfxdata="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EfpLa1gAAAAYBAAAPAAAAAAAAAAEAIAAAACIAAABkcnMvZG93bnJldi54bWxQSwECFAAU&#10;AAAACACHTuJAPdD2LLoBAABxAwAADgAAAAAAAAABACAAAAAl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rPr>
                        <w:rStyle w:val="8"/>
                      </w:rPr>
                    </w:pPr>
                    <w:r>
                      <w:rPr>
                        <w:rStyle w:val="8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8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Style w:val="8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8"/>
                        <w:rFonts w:asciiTheme="minorEastAsia" w:hAnsiTheme="minorEastAsia" w:eastAsiaTheme="minorEastAsia" w:cstheme="minorEastAsia"/>
                        <w:sz w:val="28"/>
                        <w:szCs w:val="28"/>
                      </w:rPr>
                      <w:t>- 3 -</w:t>
                    </w:r>
                    <w:r>
                      <w:rPr>
                        <w:rStyle w:val="8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55"/>
    <w:rsid w:val="000051BA"/>
    <w:rsid w:val="00007DC9"/>
    <w:rsid w:val="00022FF2"/>
    <w:rsid w:val="000246CF"/>
    <w:rsid w:val="00026B55"/>
    <w:rsid w:val="000300E0"/>
    <w:rsid w:val="0004157A"/>
    <w:rsid w:val="00041639"/>
    <w:rsid w:val="00046FD0"/>
    <w:rsid w:val="00060A39"/>
    <w:rsid w:val="00060B3A"/>
    <w:rsid w:val="000658AA"/>
    <w:rsid w:val="00070A8B"/>
    <w:rsid w:val="000720A0"/>
    <w:rsid w:val="00072E51"/>
    <w:rsid w:val="000831A5"/>
    <w:rsid w:val="00092662"/>
    <w:rsid w:val="00093500"/>
    <w:rsid w:val="00094871"/>
    <w:rsid w:val="000A67EC"/>
    <w:rsid w:val="000B1F15"/>
    <w:rsid w:val="000B47FF"/>
    <w:rsid w:val="000C4793"/>
    <w:rsid w:val="000D7352"/>
    <w:rsid w:val="000E4EE9"/>
    <w:rsid w:val="000E5187"/>
    <w:rsid w:val="000E56CF"/>
    <w:rsid w:val="000E6D88"/>
    <w:rsid w:val="000F150B"/>
    <w:rsid w:val="000F2196"/>
    <w:rsid w:val="000F2D91"/>
    <w:rsid w:val="00105EA6"/>
    <w:rsid w:val="001066EE"/>
    <w:rsid w:val="00106D59"/>
    <w:rsid w:val="001211C7"/>
    <w:rsid w:val="00125415"/>
    <w:rsid w:val="00133F36"/>
    <w:rsid w:val="00141FB6"/>
    <w:rsid w:val="00150DCD"/>
    <w:rsid w:val="00156266"/>
    <w:rsid w:val="001614DD"/>
    <w:rsid w:val="001617A2"/>
    <w:rsid w:val="00162880"/>
    <w:rsid w:val="0016489F"/>
    <w:rsid w:val="0016665A"/>
    <w:rsid w:val="00170A71"/>
    <w:rsid w:val="00183EBC"/>
    <w:rsid w:val="001A7520"/>
    <w:rsid w:val="001B131A"/>
    <w:rsid w:val="001B153F"/>
    <w:rsid w:val="001B6523"/>
    <w:rsid w:val="001D4E14"/>
    <w:rsid w:val="001D5662"/>
    <w:rsid w:val="001E1AB1"/>
    <w:rsid w:val="002064F7"/>
    <w:rsid w:val="00206B2B"/>
    <w:rsid w:val="0021638E"/>
    <w:rsid w:val="002216B9"/>
    <w:rsid w:val="0023259F"/>
    <w:rsid w:val="00233F94"/>
    <w:rsid w:val="00235183"/>
    <w:rsid w:val="00241E35"/>
    <w:rsid w:val="002428F9"/>
    <w:rsid w:val="0025742F"/>
    <w:rsid w:val="002671B1"/>
    <w:rsid w:val="00271C80"/>
    <w:rsid w:val="00277543"/>
    <w:rsid w:val="00281EEF"/>
    <w:rsid w:val="0028710F"/>
    <w:rsid w:val="002A0E27"/>
    <w:rsid w:val="002A0E47"/>
    <w:rsid w:val="002A1765"/>
    <w:rsid w:val="002A1BB0"/>
    <w:rsid w:val="002A7E25"/>
    <w:rsid w:val="002B5E8C"/>
    <w:rsid w:val="002C11D2"/>
    <w:rsid w:val="002D6C55"/>
    <w:rsid w:val="002E52C2"/>
    <w:rsid w:val="002E71C4"/>
    <w:rsid w:val="00311EB0"/>
    <w:rsid w:val="00313AEE"/>
    <w:rsid w:val="0031621E"/>
    <w:rsid w:val="00327650"/>
    <w:rsid w:val="00334544"/>
    <w:rsid w:val="003370AB"/>
    <w:rsid w:val="00337E4D"/>
    <w:rsid w:val="003407E4"/>
    <w:rsid w:val="00340D0A"/>
    <w:rsid w:val="00342C41"/>
    <w:rsid w:val="00344576"/>
    <w:rsid w:val="00356973"/>
    <w:rsid w:val="00356AAC"/>
    <w:rsid w:val="00357579"/>
    <w:rsid w:val="00357968"/>
    <w:rsid w:val="0036275A"/>
    <w:rsid w:val="00374592"/>
    <w:rsid w:val="00384827"/>
    <w:rsid w:val="003854B1"/>
    <w:rsid w:val="003871CA"/>
    <w:rsid w:val="003902DE"/>
    <w:rsid w:val="00390825"/>
    <w:rsid w:val="00394561"/>
    <w:rsid w:val="00395336"/>
    <w:rsid w:val="003B50D6"/>
    <w:rsid w:val="003C0536"/>
    <w:rsid w:val="003D7E4C"/>
    <w:rsid w:val="003E737D"/>
    <w:rsid w:val="003F534F"/>
    <w:rsid w:val="003F661F"/>
    <w:rsid w:val="00403942"/>
    <w:rsid w:val="00422EA0"/>
    <w:rsid w:val="00424C9C"/>
    <w:rsid w:val="00431DB2"/>
    <w:rsid w:val="00432CA7"/>
    <w:rsid w:val="004358E6"/>
    <w:rsid w:val="00440B14"/>
    <w:rsid w:val="00447D9F"/>
    <w:rsid w:val="00454D12"/>
    <w:rsid w:val="00463561"/>
    <w:rsid w:val="004724D5"/>
    <w:rsid w:val="00473BA4"/>
    <w:rsid w:val="004745A3"/>
    <w:rsid w:val="0048272B"/>
    <w:rsid w:val="00493ABE"/>
    <w:rsid w:val="004A69A0"/>
    <w:rsid w:val="004B0465"/>
    <w:rsid w:val="004B1A57"/>
    <w:rsid w:val="004B2619"/>
    <w:rsid w:val="004B7D8C"/>
    <w:rsid w:val="004C1EAA"/>
    <w:rsid w:val="004C4DF7"/>
    <w:rsid w:val="004C569C"/>
    <w:rsid w:val="004F5158"/>
    <w:rsid w:val="00506C84"/>
    <w:rsid w:val="005142A1"/>
    <w:rsid w:val="00517CAB"/>
    <w:rsid w:val="00536EBF"/>
    <w:rsid w:val="0053713F"/>
    <w:rsid w:val="005433C2"/>
    <w:rsid w:val="005502F2"/>
    <w:rsid w:val="00562083"/>
    <w:rsid w:val="0057423C"/>
    <w:rsid w:val="0058350A"/>
    <w:rsid w:val="00586344"/>
    <w:rsid w:val="0059087B"/>
    <w:rsid w:val="00594376"/>
    <w:rsid w:val="005A56F6"/>
    <w:rsid w:val="005A6C12"/>
    <w:rsid w:val="005C1972"/>
    <w:rsid w:val="005D3469"/>
    <w:rsid w:val="005E2A4A"/>
    <w:rsid w:val="005E48B7"/>
    <w:rsid w:val="005F1B3D"/>
    <w:rsid w:val="00602816"/>
    <w:rsid w:val="00604ACB"/>
    <w:rsid w:val="00606C5B"/>
    <w:rsid w:val="00612F03"/>
    <w:rsid w:val="006171AA"/>
    <w:rsid w:val="006178C3"/>
    <w:rsid w:val="00621BAF"/>
    <w:rsid w:val="0062410E"/>
    <w:rsid w:val="00626CE8"/>
    <w:rsid w:val="00661621"/>
    <w:rsid w:val="006711F4"/>
    <w:rsid w:val="0068140B"/>
    <w:rsid w:val="00685825"/>
    <w:rsid w:val="0069347C"/>
    <w:rsid w:val="00697633"/>
    <w:rsid w:val="006B086F"/>
    <w:rsid w:val="006E1FF4"/>
    <w:rsid w:val="006E7630"/>
    <w:rsid w:val="006F0A7E"/>
    <w:rsid w:val="006F6FC3"/>
    <w:rsid w:val="006F7D77"/>
    <w:rsid w:val="00715180"/>
    <w:rsid w:val="00720A73"/>
    <w:rsid w:val="00720CAF"/>
    <w:rsid w:val="00724377"/>
    <w:rsid w:val="007276B4"/>
    <w:rsid w:val="00733E0F"/>
    <w:rsid w:val="00745D25"/>
    <w:rsid w:val="007506EE"/>
    <w:rsid w:val="0075447F"/>
    <w:rsid w:val="00754A2D"/>
    <w:rsid w:val="007643CE"/>
    <w:rsid w:val="00766157"/>
    <w:rsid w:val="00767F68"/>
    <w:rsid w:val="0077490A"/>
    <w:rsid w:val="007775EF"/>
    <w:rsid w:val="007A51E0"/>
    <w:rsid w:val="007A6544"/>
    <w:rsid w:val="007A7FD3"/>
    <w:rsid w:val="007B2410"/>
    <w:rsid w:val="007C01D1"/>
    <w:rsid w:val="007C5705"/>
    <w:rsid w:val="007D13B8"/>
    <w:rsid w:val="007D77CE"/>
    <w:rsid w:val="00802CDC"/>
    <w:rsid w:val="00805E1D"/>
    <w:rsid w:val="00813FEC"/>
    <w:rsid w:val="00814E29"/>
    <w:rsid w:val="00823C1E"/>
    <w:rsid w:val="00826D77"/>
    <w:rsid w:val="0083338D"/>
    <w:rsid w:val="008701AB"/>
    <w:rsid w:val="0087139A"/>
    <w:rsid w:val="00877798"/>
    <w:rsid w:val="008802DB"/>
    <w:rsid w:val="00881967"/>
    <w:rsid w:val="00885F48"/>
    <w:rsid w:val="00890F76"/>
    <w:rsid w:val="0089274E"/>
    <w:rsid w:val="008A08FA"/>
    <w:rsid w:val="008E70E5"/>
    <w:rsid w:val="008F50DB"/>
    <w:rsid w:val="008F5238"/>
    <w:rsid w:val="008F7723"/>
    <w:rsid w:val="00904BC8"/>
    <w:rsid w:val="00911248"/>
    <w:rsid w:val="00913A4E"/>
    <w:rsid w:val="00925F75"/>
    <w:rsid w:val="00971108"/>
    <w:rsid w:val="0097410F"/>
    <w:rsid w:val="00974280"/>
    <w:rsid w:val="00974393"/>
    <w:rsid w:val="0097704C"/>
    <w:rsid w:val="00986E71"/>
    <w:rsid w:val="00992211"/>
    <w:rsid w:val="009942EB"/>
    <w:rsid w:val="009A1862"/>
    <w:rsid w:val="009A3120"/>
    <w:rsid w:val="009A78E1"/>
    <w:rsid w:val="009A7FCF"/>
    <w:rsid w:val="009B548C"/>
    <w:rsid w:val="009D18B6"/>
    <w:rsid w:val="009E6F62"/>
    <w:rsid w:val="009E7F86"/>
    <w:rsid w:val="009F1030"/>
    <w:rsid w:val="009F1B6D"/>
    <w:rsid w:val="00A02039"/>
    <w:rsid w:val="00A04BD7"/>
    <w:rsid w:val="00A20EDD"/>
    <w:rsid w:val="00A212C7"/>
    <w:rsid w:val="00A23406"/>
    <w:rsid w:val="00A27EDD"/>
    <w:rsid w:val="00A35D41"/>
    <w:rsid w:val="00A40953"/>
    <w:rsid w:val="00A459E3"/>
    <w:rsid w:val="00A571FE"/>
    <w:rsid w:val="00A636AF"/>
    <w:rsid w:val="00A773EC"/>
    <w:rsid w:val="00AA03DB"/>
    <w:rsid w:val="00AA164E"/>
    <w:rsid w:val="00AA3B2D"/>
    <w:rsid w:val="00AA7268"/>
    <w:rsid w:val="00AB0D6D"/>
    <w:rsid w:val="00AB68DD"/>
    <w:rsid w:val="00AC2B0B"/>
    <w:rsid w:val="00AD35D8"/>
    <w:rsid w:val="00AD6BB8"/>
    <w:rsid w:val="00AF6D19"/>
    <w:rsid w:val="00B018B8"/>
    <w:rsid w:val="00B1436F"/>
    <w:rsid w:val="00B17FDC"/>
    <w:rsid w:val="00B22148"/>
    <w:rsid w:val="00B25C4D"/>
    <w:rsid w:val="00B32A99"/>
    <w:rsid w:val="00B364E6"/>
    <w:rsid w:val="00B47F03"/>
    <w:rsid w:val="00B62010"/>
    <w:rsid w:val="00B6417D"/>
    <w:rsid w:val="00B712AC"/>
    <w:rsid w:val="00B82084"/>
    <w:rsid w:val="00B95E1A"/>
    <w:rsid w:val="00BB4808"/>
    <w:rsid w:val="00BD62E5"/>
    <w:rsid w:val="00BD715F"/>
    <w:rsid w:val="00BD7A11"/>
    <w:rsid w:val="00BE0134"/>
    <w:rsid w:val="00BE421E"/>
    <w:rsid w:val="00BE428E"/>
    <w:rsid w:val="00BE6A42"/>
    <w:rsid w:val="00BF009A"/>
    <w:rsid w:val="00BF2167"/>
    <w:rsid w:val="00BF4E21"/>
    <w:rsid w:val="00BF6AB5"/>
    <w:rsid w:val="00C03182"/>
    <w:rsid w:val="00C10C97"/>
    <w:rsid w:val="00C41CE2"/>
    <w:rsid w:val="00C452E4"/>
    <w:rsid w:val="00C53D36"/>
    <w:rsid w:val="00C57E0D"/>
    <w:rsid w:val="00C636EE"/>
    <w:rsid w:val="00C7181C"/>
    <w:rsid w:val="00C73C73"/>
    <w:rsid w:val="00C748B2"/>
    <w:rsid w:val="00C75F27"/>
    <w:rsid w:val="00C76A21"/>
    <w:rsid w:val="00C85BE4"/>
    <w:rsid w:val="00CA3B61"/>
    <w:rsid w:val="00CB05CD"/>
    <w:rsid w:val="00CB268F"/>
    <w:rsid w:val="00CD046D"/>
    <w:rsid w:val="00CD15F8"/>
    <w:rsid w:val="00CD207F"/>
    <w:rsid w:val="00CF0128"/>
    <w:rsid w:val="00CF0812"/>
    <w:rsid w:val="00CF245A"/>
    <w:rsid w:val="00CF41FE"/>
    <w:rsid w:val="00CF4321"/>
    <w:rsid w:val="00CF5E94"/>
    <w:rsid w:val="00CF7BE1"/>
    <w:rsid w:val="00D0443A"/>
    <w:rsid w:val="00D07F94"/>
    <w:rsid w:val="00D16B69"/>
    <w:rsid w:val="00D21DEB"/>
    <w:rsid w:val="00D3514F"/>
    <w:rsid w:val="00D5052C"/>
    <w:rsid w:val="00D6266A"/>
    <w:rsid w:val="00D91F48"/>
    <w:rsid w:val="00D97443"/>
    <w:rsid w:val="00DB1764"/>
    <w:rsid w:val="00DB2440"/>
    <w:rsid w:val="00DB3C8A"/>
    <w:rsid w:val="00DB5F18"/>
    <w:rsid w:val="00DB6B6E"/>
    <w:rsid w:val="00DC5F89"/>
    <w:rsid w:val="00DD0C51"/>
    <w:rsid w:val="00DD7AE6"/>
    <w:rsid w:val="00E06E17"/>
    <w:rsid w:val="00E11578"/>
    <w:rsid w:val="00E2376E"/>
    <w:rsid w:val="00E25C09"/>
    <w:rsid w:val="00E35402"/>
    <w:rsid w:val="00E379EC"/>
    <w:rsid w:val="00E42D97"/>
    <w:rsid w:val="00E42DA2"/>
    <w:rsid w:val="00E47E0D"/>
    <w:rsid w:val="00E526C3"/>
    <w:rsid w:val="00E56A87"/>
    <w:rsid w:val="00E56E52"/>
    <w:rsid w:val="00E854B0"/>
    <w:rsid w:val="00E9403C"/>
    <w:rsid w:val="00E956E5"/>
    <w:rsid w:val="00E95DF8"/>
    <w:rsid w:val="00E97496"/>
    <w:rsid w:val="00EB642C"/>
    <w:rsid w:val="00EB67B5"/>
    <w:rsid w:val="00EB6A82"/>
    <w:rsid w:val="00EB79DB"/>
    <w:rsid w:val="00EE1F86"/>
    <w:rsid w:val="00EE4190"/>
    <w:rsid w:val="00F01156"/>
    <w:rsid w:val="00F11389"/>
    <w:rsid w:val="00F11CAA"/>
    <w:rsid w:val="00F14865"/>
    <w:rsid w:val="00F3114F"/>
    <w:rsid w:val="00F3147A"/>
    <w:rsid w:val="00F31FF1"/>
    <w:rsid w:val="00F347B6"/>
    <w:rsid w:val="00F37571"/>
    <w:rsid w:val="00F44A15"/>
    <w:rsid w:val="00F46B3C"/>
    <w:rsid w:val="00F4779A"/>
    <w:rsid w:val="00F64D94"/>
    <w:rsid w:val="00F70562"/>
    <w:rsid w:val="00F744B5"/>
    <w:rsid w:val="00F74986"/>
    <w:rsid w:val="00F845F5"/>
    <w:rsid w:val="00F84788"/>
    <w:rsid w:val="00F865EA"/>
    <w:rsid w:val="00F90AF4"/>
    <w:rsid w:val="00F92C7B"/>
    <w:rsid w:val="00FA21BD"/>
    <w:rsid w:val="00FB46C7"/>
    <w:rsid w:val="00FC2B5F"/>
    <w:rsid w:val="00FD0009"/>
    <w:rsid w:val="00FD51B5"/>
    <w:rsid w:val="00FF402A"/>
    <w:rsid w:val="00FF690A"/>
    <w:rsid w:val="0CC57B90"/>
    <w:rsid w:val="39E71953"/>
    <w:rsid w:val="41E95595"/>
    <w:rsid w:val="459A1865"/>
    <w:rsid w:val="59FB3DE5"/>
    <w:rsid w:val="77F9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默认段落字体 Para Char Char Char Char Char Char Char"/>
    <w:basedOn w:val="1"/>
    <w:qFormat/>
    <w:uiPriority w:val="0"/>
  </w:style>
  <w:style w:type="character" w:customStyle="1" w:styleId="10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2">
    <w:name w:val="纯文本 Char"/>
    <w:basedOn w:val="7"/>
    <w:link w:val="2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13">
    <w:name w:val="页脚 Char"/>
    <w:basedOn w:val="7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5041D5-CBE9-4D56-ACCC-7C4AE0A38C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3</Pages>
  <Words>225</Words>
  <Characters>1285</Characters>
  <Lines>10</Lines>
  <Paragraphs>3</Paragraphs>
  <TotalTime>1</TotalTime>
  <ScaleCrop>false</ScaleCrop>
  <LinksUpToDate>false</LinksUpToDate>
  <CharactersWithSpaces>1507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2021-02-26T10:28:00Z</dcterms:created>
  <dc:creator>Lenovo User</dc:creator>
  <cp:lastModifiedBy>Administrator</cp:lastModifiedBy>
  <cp:lastPrinted>2014-04-03T09:04:00Z</cp:lastPrinted>
  <dcterms:modified xsi:type="dcterms:W3CDTF">2021-11-12T11:57:48Z</dcterms:modified>
  <dc:title>《最高人民法院、最高人民检察院关于废止1980年1月1日至1997年6月30日期间制发的部分司法解释和司法解释性质文件的决定》已于2012年11月19日由最高人民法院审判委员会第1560次会议、2012年12月19日由最高人民检察院第十一届检察委员会第83次会议通过，现予公布，自2013年1月18日起施行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024335C59DA54FC38EB2BE42750BB203</vt:lpwstr>
  </property>
</Properties>
</file>