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关于《行政诉讼法》施行前法律未规定由</w:t>
      </w:r>
    </w:p>
    <w:p>
      <w:pPr>
        <w:pStyle w:val="7"/>
        <w:rPr>
          <w:rFonts w:hint="eastAsia"/>
        </w:rPr>
      </w:pPr>
      <w:r>
        <w:t>法院受理的案件应如何处理的批复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1993</w:t>
      </w:r>
      <w:r>
        <w:t>年2月15日</w:t>
      </w:r>
      <w:r>
        <w:rPr>
          <w:rFonts w:hint="eastAsia"/>
          <w:lang w:val="en-US" w:eastAsia="zh-CN"/>
        </w:rPr>
        <w:t xml:space="preserve">      </w:t>
      </w:r>
      <w:r>
        <w:t>〔1992〕民他字第</w:t>
      </w:r>
      <w:bookmarkStart w:id="0" w:name="_GoBack"/>
      <w:bookmarkEnd w:id="0"/>
      <w:r>
        <w:t>10号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河南省高级人民法院：</w:t>
      </w:r>
    </w:p>
    <w:p>
      <w:pPr>
        <w:pStyle w:val="12"/>
        <w:jc w:val="both"/>
        <w:rPr>
          <w:rFonts w:hint="eastAsia"/>
        </w:rPr>
      </w:pPr>
      <w:r>
        <w:t>你院豫法</w:t>
      </w:r>
      <w:r>
        <w:rPr>
          <w:rFonts w:hint="eastAsia"/>
          <w:lang w:eastAsia="zh-CN"/>
        </w:rPr>
        <w:t>（</w:t>
      </w:r>
      <w:r>
        <w:t>告</w:t>
      </w:r>
      <w:r>
        <w:rPr>
          <w:rFonts w:hint="eastAsia"/>
          <w:lang w:eastAsia="zh-CN"/>
        </w:rPr>
        <w:t>）</w:t>
      </w:r>
      <w:r>
        <w:t>请〔1991〕38号《关于不服工商行政机关的查封、划拨通知书能否按民事或行政侵权案件受理的请示》收悉。</w:t>
      </w:r>
    </w:p>
    <w:p>
      <w:pPr>
        <w:pStyle w:val="12"/>
        <w:rPr>
          <w:rFonts w:hint="eastAsia"/>
        </w:rPr>
      </w:pPr>
      <w:r>
        <w:t>经我院审判委员会讨论</w:t>
      </w:r>
      <w:r>
        <w:rPr>
          <w:rFonts w:hint="eastAsia"/>
        </w:rPr>
        <w:t>，</w:t>
      </w:r>
      <w:r>
        <w:t>同意你院请示报告中的第二种意见</w:t>
      </w:r>
      <w:r>
        <w:rPr>
          <w:rFonts w:hint="eastAsia"/>
        </w:rPr>
        <w:t>，</w:t>
      </w:r>
      <w:r>
        <w:t>即：开封市工商局1988年对开封市曹门经销部作出冻结划拨酒款通知书</w:t>
      </w:r>
      <w:r>
        <w:rPr>
          <w:rFonts w:hint="eastAsia"/>
        </w:rPr>
        <w:t>，</w:t>
      </w:r>
      <w:r>
        <w:t>并以“白条”为收据提走</w:t>
      </w:r>
      <w:r>
        <w:rPr>
          <w:rFonts w:hint="eastAsia"/>
        </w:rPr>
        <w:t>其</w:t>
      </w:r>
      <w:r>
        <w:t>1653件川曲酒替开封市豫川副食品联营公司冲抵货款的行为</w:t>
      </w:r>
      <w:r>
        <w:rPr>
          <w:rFonts w:hint="eastAsia"/>
        </w:rPr>
        <w:t>，</w:t>
      </w:r>
      <w:r>
        <w:t>是行政侵权行为</w:t>
      </w:r>
      <w:r>
        <w:rPr>
          <w:rFonts w:hint="eastAsia"/>
        </w:rPr>
        <w:t>，</w:t>
      </w:r>
      <w:r>
        <w:t>但案发在行政诉讼法施行之前</w:t>
      </w:r>
      <w:r>
        <w:rPr>
          <w:rFonts w:hint="eastAsia"/>
        </w:rPr>
        <w:t>，</w:t>
      </w:r>
      <w:r>
        <w:t>当时的法律没有规定法院受理此类案件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人民法院不能受理。曹门经销部应向有关行政机关申请解决。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E593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0277C34"/>
    <w:rsid w:val="56C00D65"/>
    <w:rsid w:val="5E8E5938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2017-11-02T10:28:00Z</dcterms:created>
  <dc:creator>Administrator</dc:creator>
  <cp:lastModifiedBy>Administrator</cp:lastModifiedBy>
  <dcterms:modified xsi:type="dcterms:W3CDTF">2017-11-02T11:15:53Z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