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中华人民共和国最高人民法院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公    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eastAsia="仿宋_GB2312"/>
          <w:lang w:eastAsia="zh-CN"/>
        </w:rPr>
      </w:pPr>
      <w:r>
        <w:rPr>
          <w:rFonts w:hint="eastAsia"/>
        </w:rPr>
        <w:t>最高人民法院《关于人事争议申请仲裁的时效期间如何计算的批复》已于2013年9月9日由最高人民法院审判委员会第1590次会议通过，现予公布，自2013年9月22日起施行。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0"/>
        <w:rPr>
          <w:rFonts w:hint="eastAsia" w:ascii="宋体" w:hAnsi="宋体" w:eastAsia="宋体" w:cs="宋体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2013年9月12日</w:t>
      </w:r>
      <w:bookmarkStart w:id="0" w:name="_GoBack"/>
      <w:bookmarkEnd w:id="0"/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</w:pPr>
      <w:r>
        <w:t>关于人事争议申请仲裁的时效期间</w:t>
      </w:r>
    </w:p>
    <w:p>
      <w:pPr>
        <w:pStyle w:val="7"/>
        <w:rPr>
          <w:rFonts w:hint="eastAsia"/>
        </w:rPr>
      </w:pPr>
      <w:r>
        <w:t>如何计算的批复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法释〔2013〕23号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2013年9月9日最高人民法院审判委员会第1590次会议通过　2013年9月12日最高人民法院公告公布　自2013年9月22日起施行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四川省高级人民法院：</w:t>
      </w:r>
    </w:p>
    <w:p>
      <w:pPr>
        <w:pStyle w:val="12"/>
        <w:rPr>
          <w:rFonts w:hint="eastAsia"/>
        </w:rPr>
      </w:pPr>
      <w:r>
        <w:t>你院《关于事业单位人事争议仲裁时效如何计算的请示》</w:t>
      </w:r>
      <w:r>
        <w:rPr>
          <w:rFonts w:hint="eastAsia"/>
          <w:lang w:eastAsia="zh-CN"/>
        </w:rPr>
        <w:t>（</w:t>
      </w:r>
      <w:r>
        <w:t>川高法〔2012〕430号</w:t>
      </w:r>
      <w:r>
        <w:rPr>
          <w:rFonts w:hint="eastAsia"/>
          <w:lang w:eastAsia="zh-CN"/>
        </w:rPr>
        <w:t>）</w:t>
      </w:r>
      <w:r>
        <w:t>收悉。经研究</w:t>
      </w:r>
      <w:r>
        <w:rPr>
          <w:rFonts w:hint="eastAsia"/>
        </w:rPr>
        <w:t>，</w:t>
      </w:r>
      <w:r>
        <w:t>批复如下：</w:t>
      </w:r>
    </w:p>
    <w:p>
      <w:pPr>
        <w:pStyle w:val="12"/>
        <w:rPr>
          <w:rFonts w:hint="eastAsia"/>
        </w:rPr>
      </w:pPr>
      <w:r>
        <w:t>依据《中华人民共和国劳动争议调解仲裁法》第二十七条第一款、第五十二条的规定</w:t>
      </w:r>
      <w:r>
        <w:rPr>
          <w:rFonts w:hint="eastAsia"/>
        </w:rPr>
        <w:t>，</w:t>
      </w:r>
      <w:r>
        <w:t>当事人自知道或者应当知道其权利被侵害之日起一年内申请仲裁</w:t>
      </w:r>
      <w:r>
        <w:rPr>
          <w:rFonts w:hint="eastAsia"/>
        </w:rPr>
        <w:t>，</w:t>
      </w:r>
      <w:r>
        <w:t>仲裁机构予以受理的</w:t>
      </w:r>
      <w:r>
        <w:rPr>
          <w:rFonts w:hint="eastAsia"/>
        </w:rPr>
        <w:t>，</w:t>
      </w:r>
      <w:r>
        <w:t>人民法院应予认可。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C65F5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97F5799"/>
    <w:rsid w:val="3D717517"/>
    <w:rsid w:val="3FBC61B7"/>
    <w:rsid w:val="4AEF215E"/>
    <w:rsid w:val="4DA15956"/>
    <w:rsid w:val="4E7D2A86"/>
    <w:rsid w:val="501B3EB2"/>
    <w:rsid w:val="5027117E"/>
    <w:rsid w:val="56C00D65"/>
    <w:rsid w:val="5C6F615F"/>
    <w:rsid w:val="636C65F5"/>
    <w:rsid w:val="63F2092B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2017-10-31T05:56:00Z</dcterms:created>
  <dc:creator>Administrator</dc:creator>
  <cp:lastModifiedBy>Administrator</cp:lastModifiedBy>
  <dcterms:modified xsi:type="dcterms:W3CDTF">2017-11-15T16:21:05Z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