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520" w:lineRule="exact"/>
        <w:jc w:val="left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最高人民法院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关于公司解散纠纷案件受理费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收费标准的批复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Times New Roman" w:hAnsi="Times New Roman" w:eastAsia="仿宋_GB2312" w:cs="Times New Roman"/>
          <w:kern w:val="2"/>
          <w:sz w:val="32"/>
          <w:szCs w:val="30"/>
          <w:lang w:val="en-US" w:eastAsia="zh-CN" w:bidi="ar-SA"/>
        </w:rPr>
      </w:pPr>
      <w:r>
        <w:rPr>
          <w:rFonts w:hint="eastAsia" w:ascii="Times New Roman" w:hAnsi="Times New Roman" w:eastAsia="仿宋_GB2312" w:cs="Times New Roman"/>
          <w:kern w:val="2"/>
          <w:sz w:val="32"/>
          <w:szCs w:val="30"/>
          <w:lang w:val="en-US" w:eastAsia="zh-CN" w:bidi="ar-SA"/>
        </w:rPr>
        <w:t>法</w:t>
      </w:r>
      <w:r>
        <w:rPr>
          <w:rFonts w:hint="eastAsia" w:ascii="Times New Roman" w:hAnsi="Times New Roman" w:eastAsia="仿宋_GB2312" w:cs="Times New Roman"/>
          <w:kern w:val="2"/>
          <w:sz w:val="32"/>
          <w:szCs w:val="30"/>
          <w:lang w:val="en-US" w:eastAsia="zh-CN" w:bidi="ar-SA"/>
        </w:rPr>
        <w:t>释〔2023〕9号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420" w:rightChars="200"/>
        <w:textAlignment w:val="auto"/>
        <w:rPr>
          <w:rFonts w:hint="eastAsia" w:ascii="Times New Roman" w:hAnsi="Times New Roman" w:eastAsia="楷体_GB2312" w:cs="Times New Roman"/>
          <w:kern w:val="2"/>
          <w:sz w:val="32"/>
          <w:szCs w:val="30"/>
          <w:lang w:val="en-US" w:eastAsia="zh-CN" w:bidi="ar-SA"/>
        </w:rPr>
      </w:pPr>
      <w:r>
        <w:rPr>
          <w:rFonts w:hint="eastAsia" w:ascii="Times New Roman" w:hAnsi="Times New Roman" w:eastAsia="楷体_GB2312" w:cs="Times New Roman"/>
          <w:kern w:val="2"/>
          <w:sz w:val="32"/>
          <w:szCs w:val="30"/>
          <w:lang w:val="en-US" w:eastAsia="zh-CN" w:bidi="ar-SA"/>
        </w:rPr>
        <w:t>（2023年7月17日最高人民法院审判委员会第1896次会议通过，自2023年9月22日起施行）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仿宋_GB2312" w:hAnsi="宋体" w:eastAsia="仿宋_GB2312" w:cs="宋体"/>
          <w:sz w:val="32"/>
          <w:szCs w:val="32"/>
          <w:lang w:eastAsia="zh-CN"/>
        </w:rPr>
      </w:pPr>
      <w:r>
        <w:rPr>
          <w:rFonts w:hint="eastAsia" w:ascii="仿宋_GB2312" w:hAnsi="宋体" w:eastAsia="仿宋_GB2312" w:cs="宋体"/>
          <w:sz w:val="32"/>
          <w:szCs w:val="32"/>
        </w:rPr>
        <w:t>福建省高级人民法院</w:t>
      </w:r>
      <w:r>
        <w:rPr>
          <w:rFonts w:hint="eastAsia" w:ascii="仿宋_GB2312" w:hAnsi="宋体" w:eastAsia="仿宋_GB2312" w:cs="宋体"/>
          <w:sz w:val="32"/>
          <w:szCs w:val="32"/>
          <w:lang w:eastAsia="zh-CN"/>
        </w:rPr>
        <w:t>：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40" w:firstLineChars="200"/>
        <w:textAlignment w:val="auto"/>
        <w:rPr>
          <w:rFonts w:hint="eastAsia" w:ascii="仿宋_GB2312" w:hAnsi="宋体" w:eastAsia="仿宋_GB2312" w:cs="宋体"/>
          <w:sz w:val="32"/>
          <w:szCs w:val="32"/>
        </w:rPr>
      </w:pPr>
      <w:r>
        <w:rPr>
          <w:rFonts w:hint="eastAsia" w:ascii="仿宋_GB2312" w:hAnsi="宋体" w:eastAsia="仿宋_GB2312" w:cs="宋体"/>
          <w:sz w:val="32"/>
          <w:szCs w:val="32"/>
        </w:rPr>
        <w:t>你院《关于公司解散纠纷案件受理费收取标准的请示》收悉。经研究，批复如下：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40" w:firstLineChars="200"/>
        <w:textAlignment w:val="auto"/>
        <w:rPr>
          <w:rFonts w:hint="eastAsia" w:ascii="仿宋_GB2312" w:hAnsi="宋体" w:eastAsia="仿宋_GB2312" w:cs="宋体"/>
          <w:sz w:val="32"/>
          <w:szCs w:val="32"/>
        </w:rPr>
      </w:pPr>
      <w:r>
        <w:rPr>
          <w:rFonts w:hint="eastAsia" w:ascii="仿宋_GB2312" w:hAnsi="宋体" w:eastAsia="仿宋_GB2312" w:cs="宋体"/>
          <w:sz w:val="32"/>
          <w:szCs w:val="32"/>
        </w:rPr>
        <w:t>同意你院审判</w:t>
      </w:r>
      <w:bookmarkStart w:id="0" w:name="_GoBack"/>
      <w:bookmarkEnd w:id="0"/>
      <w:r>
        <w:rPr>
          <w:rFonts w:hint="eastAsia" w:ascii="仿宋_GB2312" w:hAnsi="宋体" w:eastAsia="仿宋_GB2312" w:cs="宋体"/>
          <w:sz w:val="32"/>
          <w:szCs w:val="32"/>
        </w:rPr>
        <w:t>委员会第二种意见，公司解散纠纷应当按照非财产案件确定受理费收费标准。公司强制清算案件的申请费以强制清算财产总额为基数，按照财产案件受理费标准减半计算。</w:t>
      </w: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/>
    </w:pPr>
    <w:r>
      <w:rPr>
        <w:sz w:val="18"/>
      </w:rPr>
      <w:pict>
        <v:shape id="_x0000_s4097" o:spid="_x0000_s4097" o:spt="202" type="#_x0000_t202" style="position:absolute;left:0pt;margin-top:-9pt;height:144pt;width:144pt;mso-position-horizontal:outside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4"/>
                  <w:rPr>
                    <w:rStyle w:val="8"/>
                  </w:rPr>
                </w:pPr>
                <w:r>
                  <w:rPr>
                    <w:rStyle w:val="8"/>
                    <w:rFonts w:hint="eastAsia" w:ascii="宋体" w:hAnsi="宋体" w:eastAsia="宋体" w:cs="宋体"/>
                    <w:sz w:val="28"/>
                    <w:szCs w:val="28"/>
                  </w:rPr>
                  <w:fldChar w:fldCharType="begin"/>
                </w:r>
                <w:r>
                  <w:rPr>
                    <w:rStyle w:val="8"/>
                    <w:rFonts w:hint="eastAsia" w:ascii="宋体" w:hAnsi="宋体" w:eastAsia="宋体" w:cs="宋体"/>
                    <w:sz w:val="28"/>
                    <w:szCs w:val="28"/>
                  </w:rPr>
                  <w:instrText xml:space="preserve">PAGE  </w:instrText>
                </w:r>
                <w:r>
                  <w:rPr>
                    <w:rStyle w:val="8"/>
                    <w:rFonts w:hint="eastAsia" w:ascii="宋体" w:hAnsi="宋体" w:eastAsia="宋体" w:cs="宋体"/>
                    <w:sz w:val="28"/>
                    <w:szCs w:val="28"/>
                  </w:rPr>
                  <w:fldChar w:fldCharType="separate"/>
                </w:r>
                <w:r>
                  <w:rPr>
                    <w:rStyle w:val="8"/>
                    <w:rFonts w:hint="eastAsia" w:ascii="宋体" w:hAnsi="宋体" w:eastAsia="宋体" w:cs="宋体"/>
                    <w:sz w:val="28"/>
                    <w:szCs w:val="28"/>
                  </w:rPr>
                  <w:t>1</w:t>
                </w:r>
                <w:r>
                  <w:rPr>
                    <w:rStyle w:val="8"/>
                    <w:rFonts w:hint="eastAsia" w:ascii="宋体" w:hAnsi="宋体" w:eastAsia="宋体" w:cs="宋体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outside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4"/>
      <w:ind w:right="360" w:firstLine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DM3MTQ4YzRiMTFhMWY4OTdiMTg1NTc1NDk1MzVhMGEifQ=="/>
  </w:docVars>
  <w:rsids>
    <w:rsidRoot w:val="002D6C55"/>
    <w:rsid w:val="000051BA"/>
    <w:rsid w:val="00007DC9"/>
    <w:rsid w:val="00022FF2"/>
    <w:rsid w:val="000246CF"/>
    <w:rsid w:val="00026B55"/>
    <w:rsid w:val="000300E0"/>
    <w:rsid w:val="0004157A"/>
    <w:rsid w:val="00041639"/>
    <w:rsid w:val="00046FD0"/>
    <w:rsid w:val="00050DB9"/>
    <w:rsid w:val="00060A39"/>
    <w:rsid w:val="00060B3A"/>
    <w:rsid w:val="000658AA"/>
    <w:rsid w:val="00070A8B"/>
    <w:rsid w:val="000720A0"/>
    <w:rsid w:val="00072E51"/>
    <w:rsid w:val="000831A5"/>
    <w:rsid w:val="00092662"/>
    <w:rsid w:val="00093500"/>
    <w:rsid w:val="00094871"/>
    <w:rsid w:val="000A67EC"/>
    <w:rsid w:val="000B1F15"/>
    <w:rsid w:val="000B47FF"/>
    <w:rsid w:val="000C4793"/>
    <w:rsid w:val="000D7352"/>
    <w:rsid w:val="000E4EE9"/>
    <w:rsid w:val="000E5187"/>
    <w:rsid w:val="000E56CF"/>
    <w:rsid w:val="000E6D88"/>
    <w:rsid w:val="000F150B"/>
    <w:rsid w:val="000F2196"/>
    <w:rsid w:val="000F2D91"/>
    <w:rsid w:val="000F5EBA"/>
    <w:rsid w:val="00105524"/>
    <w:rsid w:val="00105EA6"/>
    <w:rsid w:val="001066EE"/>
    <w:rsid w:val="00106D59"/>
    <w:rsid w:val="001211C7"/>
    <w:rsid w:val="00125415"/>
    <w:rsid w:val="00133F36"/>
    <w:rsid w:val="00141FB6"/>
    <w:rsid w:val="00156266"/>
    <w:rsid w:val="001614DD"/>
    <w:rsid w:val="001617A2"/>
    <w:rsid w:val="00162880"/>
    <w:rsid w:val="0016489F"/>
    <w:rsid w:val="0016665A"/>
    <w:rsid w:val="00170A71"/>
    <w:rsid w:val="001A07D1"/>
    <w:rsid w:val="001A7520"/>
    <w:rsid w:val="001B131A"/>
    <w:rsid w:val="001B153F"/>
    <w:rsid w:val="001B6523"/>
    <w:rsid w:val="001D4E14"/>
    <w:rsid w:val="001D5662"/>
    <w:rsid w:val="001E1AB1"/>
    <w:rsid w:val="002064F7"/>
    <w:rsid w:val="00206B2B"/>
    <w:rsid w:val="0021638E"/>
    <w:rsid w:val="002216B9"/>
    <w:rsid w:val="0023259F"/>
    <w:rsid w:val="00233F94"/>
    <w:rsid w:val="00235183"/>
    <w:rsid w:val="00241E35"/>
    <w:rsid w:val="002428F9"/>
    <w:rsid w:val="0025742F"/>
    <w:rsid w:val="002671B1"/>
    <w:rsid w:val="00271C80"/>
    <w:rsid w:val="00277543"/>
    <w:rsid w:val="00281EEF"/>
    <w:rsid w:val="0028710F"/>
    <w:rsid w:val="002951B9"/>
    <w:rsid w:val="002A0E27"/>
    <w:rsid w:val="002A0E47"/>
    <w:rsid w:val="002A1765"/>
    <w:rsid w:val="002A1BB0"/>
    <w:rsid w:val="002A7E25"/>
    <w:rsid w:val="002B5E8C"/>
    <w:rsid w:val="002B62F0"/>
    <w:rsid w:val="002C06F0"/>
    <w:rsid w:val="002C11D2"/>
    <w:rsid w:val="002D6C55"/>
    <w:rsid w:val="002E52C2"/>
    <w:rsid w:val="002E71C4"/>
    <w:rsid w:val="0030431D"/>
    <w:rsid w:val="00311EB0"/>
    <w:rsid w:val="00313AEE"/>
    <w:rsid w:val="0031621E"/>
    <w:rsid w:val="00327650"/>
    <w:rsid w:val="00334544"/>
    <w:rsid w:val="003370AB"/>
    <w:rsid w:val="00337E4D"/>
    <w:rsid w:val="003407E4"/>
    <w:rsid w:val="00340D0A"/>
    <w:rsid w:val="00342C41"/>
    <w:rsid w:val="00344576"/>
    <w:rsid w:val="00356973"/>
    <w:rsid w:val="00356AAC"/>
    <w:rsid w:val="00357579"/>
    <w:rsid w:val="00357968"/>
    <w:rsid w:val="0036275A"/>
    <w:rsid w:val="00374592"/>
    <w:rsid w:val="00384827"/>
    <w:rsid w:val="003854B1"/>
    <w:rsid w:val="003871CA"/>
    <w:rsid w:val="003902DE"/>
    <w:rsid w:val="00390825"/>
    <w:rsid w:val="00394561"/>
    <w:rsid w:val="00395336"/>
    <w:rsid w:val="003B50D6"/>
    <w:rsid w:val="003C0536"/>
    <w:rsid w:val="003D7E4C"/>
    <w:rsid w:val="003E737D"/>
    <w:rsid w:val="003F534F"/>
    <w:rsid w:val="003F661F"/>
    <w:rsid w:val="00403942"/>
    <w:rsid w:val="00422EA0"/>
    <w:rsid w:val="00424C9C"/>
    <w:rsid w:val="00431DB2"/>
    <w:rsid w:val="00432CA7"/>
    <w:rsid w:val="004358E6"/>
    <w:rsid w:val="00440B14"/>
    <w:rsid w:val="00447D9F"/>
    <w:rsid w:val="00454D12"/>
    <w:rsid w:val="00463561"/>
    <w:rsid w:val="004724D5"/>
    <w:rsid w:val="00473BA4"/>
    <w:rsid w:val="004745A3"/>
    <w:rsid w:val="0048272B"/>
    <w:rsid w:val="00493ABE"/>
    <w:rsid w:val="004A69A0"/>
    <w:rsid w:val="004B0465"/>
    <w:rsid w:val="004B1A57"/>
    <w:rsid w:val="004B2619"/>
    <w:rsid w:val="004B7D8C"/>
    <w:rsid w:val="004C1EAA"/>
    <w:rsid w:val="004C4DF7"/>
    <w:rsid w:val="004C569C"/>
    <w:rsid w:val="004F5158"/>
    <w:rsid w:val="00506945"/>
    <w:rsid w:val="00506C84"/>
    <w:rsid w:val="005142A1"/>
    <w:rsid w:val="00517CAB"/>
    <w:rsid w:val="00536EBF"/>
    <w:rsid w:val="0053713F"/>
    <w:rsid w:val="005433C2"/>
    <w:rsid w:val="005502F2"/>
    <w:rsid w:val="00562083"/>
    <w:rsid w:val="0057423C"/>
    <w:rsid w:val="0058350A"/>
    <w:rsid w:val="00586344"/>
    <w:rsid w:val="00594376"/>
    <w:rsid w:val="005A3B1C"/>
    <w:rsid w:val="005A56F6"/>
    <w:rsid w:val="005A6C12"/>
    <w:rsid w:val="005C1972"/>
    <w:rsid w:val="005D3469"/>
    <w:rsid w:val="005E2A4A"/>
    <w:rsid w:val="005E40E9"/>
    <w:rsid w:val="005E48B7"/>
    <w:rsid w:val="005F1B3D"/>
    <w:rsid w:val="00602816"/>
    <w:rsid w:val="00604ACB"/>
    <w:rsid w:val="00606C5B"/>
    <w:rsid w:val="00612F03"/>
    <w:rsid w:val="006171AA"/>
    <w:rsid w:val="006178C3"/>
    <w:rsid w:val="00621BAF"/>
    <w:rsid w:val="0062410E"/>
    <w:rsid w:val="00626CE8"/>
    <w:rsid w:val="00661621"/>
    <w:rsid w:val="006711F4"/>
    <w:rsid w:val="0068140B"/>
    <w:rsid w:val="00685825"/>
    <w:rsid w:val="0069347C"/>
    <w:rsid w:val="006B086F"/>
    <w:rsid w:val="006E1FF4"/>
    <w:rsid w:val="006E7630"/>
    <w:rsid w:val="006F0A7E"/>
    <w:rsid w:val="006F6FC3"/>
    <w:rsid w:val="006F7D77"/>
    <w:rsid w:val="00715180"/>
    <w:rsid w:val="00720A73"/>
    <w:rsid w:val="00720CAF"/>
    <w:rsid w:val="00724377"/>
    <w:rsid w:val="007276B4"/>
    <w:rsid w:val="00733E0F"/>
    <w:rsid w:val="00745D25"/>
    <w:rsid w:val="007506EE"/>
    <w:rsid w:val="0075447F"/>
    <w:rsid w:val="00754A2D"/>
    <w:rsid w:val="007643CE"/>
    <w:rsid w:val="00766157"/>
    <w:rsid w:val="00767F68"/>
    <w:rsid w:val="0077490A"/>
    <w:rsid w:val="007775EF"/>
    <w:rsid w:val="007A51E0"/>
    <w:rsid w:val="007A6544"/>
    <w:rsid w:val="007A7FD3"/>
    <w:rsid w:val="007B2410"/>
    <w:rsid w:val="007B4D73"/>
    <w:rsid w:val="007C01D1"/>
    <w:rsid w:val="007C5705"/>
    <w:rsid w:val="007D13B8"/>
    <w:rsid w:val="007D77CE"/>
    <w:rsid w:val="007F3B4B"/>
    <w:rsid w:val="00802CDC"/>
    <w:rsid w:val="00805E1D"/>
    <w:rsid w:val="00813FEC"/>
    <w:rsid w:val="00814E29"/>
    <w:rsid w:val="00823C1E"/>
    <w:rsid w:val="00826D77"/>
    <w:rsid w:val="0083338D"/>
    <w:rsid w:val="0084005A"/>
    <w:rsid w:val="00865726"/>
    <w:rsid w:val="008701AB"/>
    <w:rsid w:val="0087139A"/>
    <w:rsid w:val="00877798"/>
    <w:rsid w:val="008802DB"/>
    <w:rsid w:val="00881967"/>
    <w:rsid w:val="00885F48"/>
    <w:rsid w:val="00890F76"/>
    <w:rsid w:val="00891C76"/>
    <w:rsid w:val="0089274E"/>
    <w:rsid w:val="008A08FA"/>
    <w:rsid w:val="008C33D5"/>
    <w:rsid w:val="008E70E5"/>
    <w:rsid w:val="008F50DB"/>
    <w:rsid w:val="008F5238"/>
    <w:rsid w:val="008F7723"/>
    <w:rsid w:val="00904BC8"/>
    <w:rsid w:val="00911248"/>
    <w:rsid w:val="00913A4E"/>
    <w:rsid w:val="00925B24"/>
    <w:rsid w:val="00925F75"/>
    <w:rsid w:val="00952B0F"/>
    <w:rsid w:val="00971108"/>
    <w:rsid w:val="0097410F"/>
    <w:rsid w:val="00974280"/>
    <w:rsid w:val="00974393"/>
    <w:rsid w:val="0097704C"/>
    <w:rsid w:val="00986E71"/>
    <w:rsid w:val="00992211"/>
    <w:rsid w:val="009942EB"/>
    <w:rsid w:val="009A0B77"/>
    <w:rsid w:val="009A1862"/>
    <w:rsid w:val="009A2CE2"/>
    <w:rsid w:val="009A78E1"/>
    <w:rsid w:val="009A7FCF"/>
    <w:rsid w:val="009B548C"/>
    <w:rsid w:val="009D18B6"/>
    <w:rsid w:val="009E6F62"/>
    <w:rsid w:val="009E7F86"/>
    <w:rsid w:val="009F1030"/>
    <w:rsid w:val="009F1B6D"/>
    <w:rsid w:val="00A02039"/>
    <w:rsid w:val="00A04BD7"/>
    <w:rsid w:val="00A202E1"/>
    <w:rsid w:val="00A20EDD"/>
    <w:rsid w:val="00A212C7"/>
    <w:rsid w:val="00A23406"/>
    <w:rsid w:val="00A27EDD"/>
    <w:rsid w:val="00A35D41"/>
    <w:rsid w:val="00A37425"/>
    <w:rsid w:val="00A40953"/>
    <w:rsid w:val="00A459E3"/>
    <w:rsid w:val="00A571FE"/>
    <w:rsid w:val="00A636AF"/>
    <w:rsid w:val="00A721BF"/>
    <w:rsid w:val="00A773EC"/>
    <w:rsid w:val="00AA03DB"/>
    <w:rsid w:val="00AA164E"/>
    <w:rsid w:val="00AA3B2D"/>
    <w:rsid w:val="00AA7268"/>
    <w:rsid w:val="00AB0D6D"/>
    <w:rsid w:val="00AB68DD"/>
    <w:rsid w:val="00AC2B0B"/>
    <w:rsid w:val="00AC4F2A"/>
    <w:rsid w:val="00AD35D8"/>
    <w:rsid w:val="00AD6BB8"/>
    <w:rsid w:val="00AF6D19"/>
    <w:rsid w:val="00B018B8"/>
    <w:rsid w:val="00B1436F"/>
    <w:rsid w:val="00B17FDC"/>
    <w:rsid w:val="00B22148"/>
    <w:rsid w:val="00B25C4D"/>
    <w:rsid w:val="00B32A99"/>
    <w:rsid w:val="00B364E6"/>
    <w:rsid w:val="00B3652D"/>
    <w:rsid w:val="00B47F03"/>
    <w:rsid w:val="00B62010"/>
    <w:rsid w:val="00B6417D"/>
    <w:rsid w:val="00B712AC"/>
    <w:rsid w:val="00B82084"/>
    <w:rsid w:val="00B95E1A"/>
    <w:rsid w:val="00BB4808"/>
    <w:rsid w:val="00BD62E5"/>
    <w:rsid w:val="00BD715F"/>
    <w:rsid w:val="00BD7A11"/>
    <w:rsid w:val="00BE0134"/>
    <w:rsid w:val="00BE421E"/>
    <w:rsid w:val="00BE428E"/>
    <w:rsid w:val="00BE6A42"/>
    <w:rsid w:val="00BF009A"/>
    <w:rsid w:val="00BF2167"/>
    <w:rsid w:val="00BF4E21"/>
    <w:rsid w:val="00BF6AB5"/>
    <w:rsid w:val="00C03182"/>
    <w:rsid w:val="00C10C97"/>
    <w:rsid w:val="00C41CE2"/>
    <w:rsid w:val="00C452E4"/>
    <w:rsid w:val="00C53D36"/>
    <w:rsid w:val="00C57E0D"/>
    <w:rsid w:val="00C636EE"/>
    <w:rsid w:val="00C7181C"/>
    <w:rsid w:val="00C73C73"/>
    <w:rsid w:val="00C748B2"/>
    <w:rsid w:val="00C75F27"/>
    <w:rsid w:val="00C76A21"/>
    <w:rsid w:val="00C85BE4"/>
    <w:rsid w:val="00CA3B61"/>
    <w:rsid w:val="00CB05CD"/>
    <w:rsid w:val="00CB268F"/>
    <w:rsid w:val="00CB72D2"/>
    <w:rsid w:val="00CD046D"/>
    <w:rsid w:val="00CD15F8"/>
    <w:rsid w:val="00CD207F"/>
    <w:rsid w:val="00CF0128"/>
    <w:rsid w:val="00CF0812"/>
    <w:rsid w:val="00CF1542"/>
    <w:rsid w:val="00CF245A"/>
    <w:rsid w:val="00CF41FE"/>
    <w:rsid w:val="00CF4321"/>
    <w:rsid w:val="00CF5E94"/>
    <w:rsid w:val="00CF7BE1"/>
    <w:rsid w:val="00D0443A"/>
    <w:rsid w:val="00D07F94"/>
    <w:rsid w:val="00D16B69"/>
    <w:rsid w:val="00D21DEB"/>
    <w:rsid w:val="00D3514F"/>
    <w:rsid w:val="00D5052C"/>
    <w:rsid w:val="00D51BAD"/>
    <w:rsid w:val="00D6266A"/>
    <w:rsid w:val="00D91F48"/>
    <w:rsid w:val="00D937CE"/>
    <w:rsid w:val="00D97443"/>
    <w:rsid w:val="00DB1764"/>
    <w:rsid w:val="00DB2440"/>
    <w:rsid w:val="00DB24B2"/>
    <w:rsid w:val="00DB3C8A"/>
    <w:rsid w:val="00DB5F18"/>
    <w:rsid w:val="00DC0E66"/>
    <w:rsid w:val="00DC5F89"/>
    <w:rsid w:val="00DD0C51"/>
    <w:rsid w:val="00DD7AE6"/>
    <w:rsid w:val="00E06E17"/>
    <w:rsid w:val="00E11578"/>
    <w:rsid w:val="00E2376E"/>
    <w:rsid w:val="00E25C09"/>
    <w:rsid w:val="00E338FF"/>
    <w:rsid w:val="00E35402"/>
    <w:rsid w:val="00E379EC"/>
    <w:rsid w:val="00E42D97"/>
    <w:rsid w:val="00E42DA2"/>
    <w:rsid w:val="00E47E0D"/>
    <w:rsid w:val="00E526C3"/>
    <w:rsid w:val="00E56A87"/>
    <w:rsid w:val="00E56E52"/>
    <w:rsid w:val="00E854B0"/>
    <w:rsid w:val="00E9403C"/>
    <w:rsid w:val="00E956E5"/>
    <w:rsid w:val="00E95DF8"/>
    <w:rsid w:val="00E97496"/>
    <w:rsid w:val="00EB642C"/>
    <w:rsid w:val="00EB67B5"/>
    <w:rsid w:val="00EB6A82"/>
    <w:rsid w:val="00EB79DB"/>
    <w:rsid w:val="00EE1F86"/>
    <w:rsid w:val="00EE4190"/>
    <w:rsid w:val="00F01156"/>
    <w:rsid w:val="00F11389"/>
    <w:rsid w:val="00F11CAA"/>
    <w:rsid w:val="00F14865"/>
    <w:rsid w:val="00F3114F"/>
    <w:rsid w:val="00F3147A"/>
    <w:rsid w:val="00F31FF1"/>
    <w:rsid w:val="00F347B6"/>
    <w:rsid w:val="00F37571"/>
    <w:rsid w:val="00F44A15"/>
    <w:rsid w:val="00F46B3C"/>
    <w:rsid w:val="00F4779A"/>
    <w:rsid w:val="00F64D94"/>
    <w:rsid w:val="00F70562"/>
    <w:rsid w:val="00F7215A"/>
    <w:rsid w:val="00F744B5"/>
    <w:rsid w:val="00F74986"/>
    <w:rsid w:val="00F845F5"/>
    <w:rsid w:val="00F84788"/>
    <w:rsid w:val="00F865EA"/>
    <w:rsid w:val="00F90AF4"/>
    <w:rsid w:val="00F92C7B"/>
    <w:rsid w:val="00FA21BD"/>
    <w:rsid w:val="00FB46C7"/>
    <w:rsid w:val="00FC2B5F"/>
    <w:rsid w:val="00FD0009"/>
    <w:rsid w:val="00FD141A"/>
    <w:rsid w:val="00FD51B5"/>
    <w:rsid w:val="00FF402A"/>
    <w:rsid w:val="00FF690A"/>
    <w:rsid w:val="0BBF197C"/>
    <w:rsid w:val="325C2BEE"/>
    <w:rsid w:val="3515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2"/>
    <w:autoRedefine/>
    <w:uiPriority w:val="99"/>
    <w:rPr>
      <w:rFonts w:ascii="宋体" w:hAnsi="Courier New" w:cs="Courier New"/>
      <w:szCs w:val="21"/>
    </w:rPr>
  </w:style>
  <w:style w:type="paragraph" w:styleId="3">
    <w:name w:val="Balloon Text"/>
    <w:basedOn w:val="1"/>
    <w:link w:val="11"/>
    <w:autoRedefine/>
    <w:qFormat/>
    <w:uiPriority w:val="0"/>
    <w:rPr>
      <w:sz w:val="18"/>
      <w:szCs w:val="18"/>
    </w:r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autoRedefine/>
    <w:qFormat/>
    <w:uiPriority w:val="0"/>
  </w:style>
  <w:style w:type="paragraph" w:customStyle="1" w:styleId="9">
    <w:name w:val="默认段落字体 Para Char Char Char Char Char Char Char"/>
    <w:basedOn w:val="1"/>
    <w:uiPriority w:val="0"/>
  </w:style>
  <w:style w:type="character" w:customStyle="1" w:styleId="10">
    <w:name w:val="页眉 Char"/>
    <w:basedOn w:val="7"/>
    <w:link w:val="5"/>
    <w:uiPriority w:val="0"/>
    <w:rPr>
      <w:kern w:val="2"/>
      <w:sz w:val="18"/>
      <w:szCs w:val="18"/>
    </w:rPr>
  </w:style>
  <w:style w:type="character" w:customStyle="1" w:styleId="11">
    <w:name w:val="批注框文本 Char"/>
    <w:basedOn w:val="7"/>
    <w:link w:val="3"/>
    <w:uiPriority w:val="0"/>
    <w:rPr>
      <w:kern w:val="2"/>
      <w:sz w:val="18"/>
      <w:szCs w:val="18"/>
    </w:rPr>
  </w:style>
  <w:style w:type="character" w:customStyle="1" w:styleId="12">
    <w:name w:val="纯文本 Char"/>
    <w:basedOn w:val="7"/>
    <w:link w:val="2"/>
    <w:uiPriority w:val="99"/>
    <w:rPr>
      <w:rFonts w:ascii="宋体" w:hAnsi="Courier New" w:cs="Courier New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0CFC39-9778-4A21-BE06-87F6FA0DC8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 (Beijing) Limited</Company>
  <Pages>2</Pages>
  <Words>99</Words>
  <Characters>570</Characters>
  <Lines>4</Lines>
  <Paragraphs>1</Paragraphs>
  <TotalTime>1</TotalTime>
  <ScaleCrop>false</ScaleCrop>
  <LinksUpToDate>false</LinksUpToDate>
  <CharactersWithSpaces>668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2023-09-22T01:32:00Z</dcterms:created>
  <dc:creator>Lenovo User</dc:creator>
  <cp:lastModifiedBy>雷</cp:lastModifiedBy>
  <cp:lastPrinted>2014-04-03T09:04:00Z</cp:lastPrinted>
  <dcterms:modified xsi:type="dcterms:W3CDTF">2024-03-07T00:59:51Z</dcterms:modified>
  <dc:title>《最高人民法院、最高人民检察院关于废止1980年1月1日至1997年6月30日期间制发的部分司法解释和司法解释性质文件的决定》已于2012年11月19日由最高人民法院审判委员会第1560次会议、2012年12月19日由最高人民检察院第十一届检察委员会第83次会议通过，现予公布，自2013年1月18日起施行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1A793A5068FA4727BAE389118EBF0977_12</vt:lpwstr>
  </property>
</Properties>
</file>