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 xml:space="preserve">公   </w:t>
      </w:r>
      <w:bookmarkStart w:id="0" w:name="_GoBack"/>
      <w:r>
        <w:rPr>
          <w:rFonts w:hint="eastAsia"/>
          <w:lang w:eastAsia="zh-CN"/>
        </w:rPr>
        <w:t xml:space="preserve"> </w:t>
      </w:r>
      <w:bookmarkEnd w:id="0"/>
      <w:r>
        <w:rPr>
          <w:rFonts w:hint="eastAsia"/>
          <w:lang w:eastAsia="zh-CN"/>
        </w:rPr>
        <w:t>告</w:t>
      </w:r>
    </w:p>
    <w:p>
      <w:pPr>
        <w:pStyle w:val="12"/>
        <w:rPr>
          <w:rFonts w:hint="eastAsia" w:ascii="宋体" w:hAnsi="宋体" w:eastAsia="宋体" w:cs="宋体"/>
        </w:rPr>
      </w:pPr>
    </w:p>
    <w:p>
      <w:pPr>
        <w:pStyle w:val="12"/>
        <w:jc w:val="both"/>
        <w:rPr>
          <w:rFonts w:hint="eastAsia"/>
        </w:rPr>
      </w:pPr>
      <w:r>
        <w:rPr>
          <w:rFonts w:hint="eastAsia"/>
        </w:rPr>
        <w:t>根据《中华人民共和国澳门特别行政区基本法》第九十三条的规定，最高人民法院与澳门特别行政区经协商，达成《关于内地与澳门特别行政区相互认可和执行仲裁裁决的安排》（以下简称《安排》）并于2007年10月30日签署。本《安排》已于2007年9月17日由最高人民，法院审判委员会第1437次会议通过，现予公布。根据双方一致意见，本《安排》自2008年1月1日起实施。</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2007年12月12日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关于内地与澳门特别行政区相互认可</w:t>
      </w:r>
    </w:p>
    <w:p>
      <w:pPr>
        <w:pStyle w:val="7"/>
        <w:rPr>
          <w:rFonts w:hint="eastAsia"/>
        </w:rPr>
      </w:pPr>
      <w:r>
        <w:t>和执行仲裁裁决的安排</w:t>
      </w:r>
    </w:p>
    <w:p>
      <w:pPr>
        <w:pStyle w:val="12"/>
        <w:rPr>
          <w:rFonts w:hint="eastAsia" w:ascii="宋体" w:hAnsi="宋体" w:eastAsia="宋体" w:cs="宋体"/>
        </w:rPr>
      </w:pPr>
    </w:p>
    <w:p>
      <w:pPr>
        <w:pStyle w:val="19"/>
        <w:rPr>
          <w:rFonts w:hint="eastAsia"/>
        </w:rPr>
      </w:pPr>
      <w:r>
        <w:t>法释〔2007〕17号</w:t>
      </w:r>
    </w:p>
    <w:p>
      <w:pPr>
        <w:pStyle w:val="12"/>
        <w:rPr>
          <w:rFonts w:hint="eastAsia" w:ascii="宋体" w:hAnsi="宋体" w:eastAsia="宋体" w:cs="宋体"/>
        </w:rPr>
      </w:pPr>
    </w:p>
    <w:p>
      <w:pPr>
        <w:pStyle w:val="17"/>
        <w:rPr>
          <w:rFonts w:hint="eastAsia"/>
          <w:lang w:eastAsia="zh-CN"/>
        </w:rPr>
      </w:pPr>
      <w:r>
        <w:rPr>
          <w:rFonts w:hint="eastAsia"/>
          <w:lang w:eastAsia="zh-CN"/>
        </w:rPr>
        <w:t>（</w:t>
      </w:r>
      <w:r>
        <w:t>2007年9月17日最高人民法院审判委员会第1437次会议通过</w:t>
      </w:r>
      <w:r>
        <w:rPr>
          <w:rFonts w:hint="eastAsia"/>
          <w:lang w:eastAsia="zh-CN"/>
        </w:rPr>
        <w:t>　</w:t>
      </w:r>
      <w:r>
        <w:rPr>
          <w:rFonts w:hint="eastAsia"/>
        </w:rPr>
        <w:t>2007</w:t>
      </w:r>
      <w:r>
        <w:t>年12月12日最高人民法院公告公布　2008年1月1日起实施</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根据《中华人民共和国澳门特别行政区基本法》第九十三条的规定</w:t>
      </w:r>
      <w:r>
        <w:rPr>
          <w:rFonts w:hint="eastAsia"/>
        </w:rPr>
        <w:t>，</w:t>
      </w:r>
      <w:r>
        <w:t>经最高人民法院与澳门特别行政</w:t>
      </w:r>
      <w:r>
        <w:rPr>
          <w:rFonts w:hint="eastAsia"/>
        </w:rPr>
        <w:t>区协商，现就内地与澳门特别行政区相互认可和执行仲裁裁决的有关事宜达成如下安排：</w:t>
      </w:r>
    </w:p>
    <w:p>
      <w:pPr>
        <w:pStyle w:val="12"/>
        <w:rPr>
          <w:rFonts w:hint="eastAsia"/>
        </w:rPr>
      </w:pPr>
      <w:r>
        <w:rPr>
          <w:rStyle w:val="25"/>
        </w:rPr>
        <w:t>第一条</w:t>
      </w:r>
      <w:r>
        <w:t>　内地人民法院认可和执行澳门特别行政区仲裁机构及仲裁员按照澳门特别行政区仲裁法规在澳门作出的民商事仲裁裁决</w:t>
      </w:r>
      <w:r>
        <w:rPr>
          <w:rFonts w:hint="eastAsia"/>
        </w:rPr>
        <w:t>，</w:t>
      </w:r>
      <w:r>
        <w:t>澳门特别行政区法院认可和执行内地仲裁机构依据《中华人民共和国仲裁法》在内地作出的民商事仲裁裁决</w:t>
      </w:r>
      <w:r>
        <w:rPr>
          <w:rFonts w:hint="eastAsia"/>
        </w:rPr>
        <w:t>，</w:t>
      </w:r>
      <w:r>
        <w:t>适用本安排。</w:t>
      </w:r>
    </w:p>
    <w:p>
      <w:pPr>
        <w:pStyle w:val="12"/>
        <w:rPr>
          <w:rStyle w:val="25"/>
          <w:rFonts w:hint="eastAsia"/>
        </w:rPr>
      </w:pPr>
      <w:r>
        <w:t>本安排没有规定的</w:t>
      </w:r>
      <w:r>
        <w:rPr>
          <w:rFonts w:hint="eastAsia"/>
        </w:rPr>
        <w:t>，</w:t>
      </w:r>
      <w:r>
        <w:t>适用认可和执行地的程序法律规定。</w:t>
      </w:r>
    </w:p>
    <w:p>
      <w:pPr>
        <w:pStyle w:val="12"/>
        <w:rPr>
          <w:rFonts w:hint="eastAsia"/>
        </w:rPr>
      </w:pPr>
      <w:r>
        <w:rPr>
          <w:rStyle w:val="25"/>
        </w:rPr>
        <w:t>第二条</w:t>
      </w:r>
      <w:r>
        <w:t>　在内地或者澳门特别行政区作出的仲裁裁决</w:t>
      </w:r>
      <w:r>
        <w:rPr>
          <w:rFonts w:hint="eastAsia"/>
        </w:rPr>
        <w:t>，</w:t>
      </w:r>
      <w:r>
        <w:t>一方当事人不履行的</w:t>
      </w:r>
      <w:r>
        <w:rPr>
          <w:rFonts w:hint="eastAsia"/>
        </w:rPr>
        <w:t>，</w:t>
      </w:r>
      <w:r>
        <w:t>另一方当事人可以向被申请人住所地、</w:t>
      </w:r>
      <w:r>
        <w:rPr>
          <w:rFonts w:hint="eastAsia"/>
        </w:rPr>
        <w:t>经常居住地或者财产所在地的有关法院申请认可和执行。</w:t>
      </w:r>
    </w:p>
    <w:p>
      <w:pPr>
        <w:pStyle w:val="12"/>
        <w:rPr>
          <w:rFonts w:hint="eastAsia"/>
        </w:rPr>
      </w:pPr>
      <w:r>
        <w:rPr>
          <w:rFonts w:hint="eastAsia"/>
        </w:rPr>
        <w:t>内地有权受理认可和执行仲裁裁决申请的法院为中级人民法院。两个或者两个以上中级人民法院均有管辖权的，当事人应当选择向其中一个中级人民法院提出申请。</w:t>
      </w:r>
    </w:p>
    <w:p>
      <w:pPr>
        <w:pStyle w:val="12"/>
        <w:rPr>
          <w:rStyle w:val="25"/>
          <w:rFonts w:hint="eastAsia"/>
        </w:rPr>
      </w:pPr>
      <w:r>
        <w:rPr>
          <w:rFonts w:hint="eastAsia"/>
        </w:rPr>
        <w:t>澳门特别行政区有权受理认可仲裁裁决申请的法院为中级法院，有权执行的法院为初级法院。</w:t>
      </w:r>
    </w:p>
    <w:p>
      <w:pPr>
        <w:pStyle w:val="12"/>
        <w:rPr>
          <w:rFonts w:hint="eastAsia"/>
        </w:rPr>
      </w:pPr>
      <w:r>
        <w:rPr>
          <w:rStyle w:val="25"/>
        </w:rPr>
        <w:t>第三条</w:t>
      </w:r>
      <w:r>
        <w:t>　被申请人的住所地、经常居住地或者财产所在地分别在内地和澳门特别行政区的</w:t>
      </w:r>
      <w:r>
        <w:rPr>
          <w:rFonts w:hint="eastAsia"/>
        </w:rPr>
        <w:t>，</w:t>
      </w:r>
      <w:r>
        <w:t>申请人可以向一地法院提出认可和执行申请</w:t>
      </w:r>
      <w:r>
        <w:rPr>
          <w:rFonts w:hint="eastAsia"/>
        </w:rPr>
        <w:t>，</w:t>
      </w:r>
      <w:r>
        <w:t>也可以分别向两地法院提出申请。</w:t>
      </w:r>
    </w:p>
    <w:p>
      <w:pPr>
        <w:pStyle w:val="12"/>
        <w:rPr>
          <w:rStyle w:val="25"/>
          <w:rFonts w:hint="eastAsia"/>
        </w:rPr>
      </w:pPr>
      <w:r>
        <w:t>当事人分别向两地法院提出申请的</w:t>
      </w:r>
      <w:r>
        <w:rPr>
          <w:rFonts w:hint="eastAsia"/>
        </w:rPr>
        <w:t>，</w:t>
      </w:r>
      <w:r>
        <w:t>两地法院都应当依法</w:t>
      </w:r>
      <w:r>
        <w:rPr>
          <w:rFonts w:hint="eastAsia"/>
        </w:rPr>
        <w:t>进行审查。予以认可的，采取查封、扣押或者冻结被执行人财产等执行措施。仲裁地法院应当先进行执行清偿；另一地法院在收到仲裁地法院关于经执行债权未获清偿情况的证明后，可以对申请人未获清偿的部分进行执行清偿。两地法院执行财产的总额，不得超过依据裁决和法律规定所确定的数额。</w:t>
      </w:r>
    </w:p>
    <w:p>
      <w:pPr>
        <w:pStyle w:val="12"/>
        <w:rPr>
          <w:rFonts w:hint="eastAsia"/>
        </w:rPr>
      </w:pPr>
      <w:r>
        <w:rPr>
          <w:rStyle w:val="25"/>
        </w:rPr>
        <w:t>第四条</w:t>
      </w:r>
      <w:r>
        <w:t>　申请人向有关法院申请认可和执行仲裁裁决的</w:t>
      </w:r>
      <w:r>
        <w:rPr>
          <w:rFonts w:hint="eastAsia"/>
        </w:rPr>
        <w:t>，</w:t>
      </w:r>
      <w:r>
        <w:t>应当提交以下文件或者经公证的副本：</w:t>
      </w:r>
    </w:p>
    <w:p>
      <w:pPr>
        <w:pStyle w:val="12"/>
        <w:rPr>
          <w:rFonts w:hint="eastAsia"/>
        </w:rPr>
      </w:pPr>
      <w:r>
        <w:rPr>
          <w:rFonts w:hint="eastAsia"/>
          <w:lang w:eastAsia="zh-CN"/>
        </w:rPr>
        <w:t>（</w:t>
      </w:r>
      <w:r>
        <w:t>一</w:t>
      </w:r>
      <w:r>
        <w:rPr>
          <w:rFonts w:hint="eastAsia"/>
          <w:lang w:eastAsia="zh-CN"/>
        </w:rPr>
        <w:t>）</w:t>
      </w:r>
      <w:r>
        <w:t>申请书；</w:t>
      </w:r>
    </w:p>
    <w:p>
      <w:pPr>
        <w:pStyle w:val="12"/>
        <w:rPr>
          <w:rFonts w:hint="eastAsia"/>
        </w:rPr>
      </w:pPr>
      <w:r>
        <w:rPr>
          <w:rFonts w:hint="eastAsia"/>
          <w:lang w:eastAsia="zh-CN"/>
        </w:rPr>
        <w:t>（</w:t>
      </w:r>
      <w:r>
        <w:t>二</w:t>
      </w:r>
      <w:r>
        <w:rPr>
          <w:rFonts w:hint="eastAsia"/>
          <w:lang w:eastAsia="zh-CN"/>
        </w:rPr>
        <w:t>）</w:t>
      </w:r>
      <w:r>
        <w:t>申请人身份证明；</w:t>
      </w:r>
    </w:p>
    <w:p>
      <w:pPr>
        <w:pStyle w:val="12"/>
        <w:rPr>
          <w:rFonts w:hint="eastAsia"/>
        </w:rPr>
      </w:pPr>
      <w:r>
        <w:rPr>
          <w:rFonts w:hint="eastAsia"/>
          <w:lang w:eastAsia="zh-CN"/>
        </w:rPr>
        <w:t>（</w:t>
      </w:r>
      <w:r>
        <w:t>三</w:t>
      </w:r>
      <w:r>
        <w:rPr>
          <w:rFonts w:hint="eastAsia"/>
          <w:lang w:eastAsia="zh-CN"/>
        </w:rPr>
        <w:t>）</w:t>
      </w:r>
      <w:r>
        <w:t>仲裁协议；</w:t>
      </w:r>
    </w:p>
    <w:p>
      <w:pPr>
        <w:pStyle w:val="12"/>
        <w:rPr>
          <w:rFonts w:hint="eastAsia"/>
        </w:rPr>
      </w:pPr>
      <w:r>
        <w:rPr>
          <w:rFonts w:hint="eastAsia"/>
          <w:lang w:eastAsia="zh-CN"/>
        </w:rPr>
        <w:t>（</w:t>
      </w:r>
      <w:r>
        <w:t>四</w:t>
      </w:r>
      <w:r>
        <w:rPr>
          <w:rFonts w:hint="eastAsia"/>
          <w:lang w:eastAsia="zh-CN"/>
        </w:rPr>
        <w:t>）</w:t>
      </w:r>
      <w:r>
        <w:t>仲裁裁决书或者仲裁调解书。</w:t>
      </w:r>
    </w:p>
    <w:p>
      <w:pPr>
        <w:pStyle w:val="12"/>
        <w:rPr>
          <w:rStyle w:val="25"/>
          <w:rFonts w:hint="eastAsia"/>
        </w:rPr>
      </w:pPr>
      <w:r>
        <w:t>上述文件没有中文文本的</w:t>
      </w:r>
      <w:r>
        <w:rPr>
          <w:rFonts w:hint="eastAsia"/>
        </w:rPr>
        <w:t>，</w:t>
      </w:r>
      <w:r>
        <w:t>申请人应当提交经</w:t>
      </w:r>
      <w:r>
        <w:rPr>
          <w:rFonts w:hint="eastAsia"/>
        </w:rPr>
        <w:t>正式证明的中文译本。</w:t>
      </w:r>
    </w:p>
    <w:p>
      <w:pPr>
        <w:pStyle w:val="12"/>
        <w:rPr>
          <w:rFonts w:hint="eastAsia"/>
        </w:rPr>
      </w:pPr>
      <w:r>
        <w:rPr>
          <w:rStyle w:val="25"/>
        </w:rPr>
        <w:t>第五条</w:t>
      </w:r>
      <w:r>
        <w:t>　申请书应当包括下列内容：</w:t>
      </w:r>
    </w:p>
    <w:p>
      <w:pPr>
        <w:pStyle w:val="12"/>
        <w:rPr>
          <w:rFonts w:hint="eastAsia"/>
        </w:rPr>
      </w:pPr>
      <w:r>
        <w:rPr>
          <w:rFonts w:hint="eastAsia"/>
          <w:lang w:eastAsia="zh-CN"/>
        </w:rPr>
        <w:t>（</w:t>
      </w:r>
      <w:r>
        <w:t>一</w:t>
      </w:r>
      <w:r>
        <w:rPr>
          <w:rFonts w:hint="eastAsia"/>
          <w:lang w:eastAsia="zh-CN"/>
        </w:rPr>
        <w:t>）</w:t>
      </w:r>
      <w:r>
        <w:t>申请人或者被申请人为自然人的</w:t>
      </w:r>
      <w:r>
        <w:rPr>
          <w:rFonts w:hint="eastAsia"/>
        </w:rPr>
        <w:t>，</w:t>
      </w:r>
      <w:r>
        <w:t>应当载明其姓名及住所；为法人或者其他组织的</w:t>
      </w:r>
      <w:r>
        <w:rPr>
          <w:rFonts w:hint="eastAsia"/>
        </w:rPr>
        <w:t>，</w:t>
      </w:r>
      <w:r>
        <w:t>应当载明其名称及住所</w:t>
      </w:r>
      <w:r>
        <w:rPr>
          <w:rFonts w:hint="eastAsia"/>
        </w:rPr>
        <w:t>，</w:t>
      </w:r>
      <w:r>
        <w:t>以及其法定代表人或者主要负责人的姓名、职务和住所；申请人是外国籍法人或者其他组织的</w:t>
      </w:r>
      <w:r>
        <w:rPr>
          <w:rFonts w:hint="eastAsia"/>
        </w:rPr>
        <w:t>，</w:t>
      </w:r>
      <w:r>
        <w:t>应当提交相应的公证和认证材料；</w:t>
      </w:r>
    </w:p>
    <w:p>
      <w:pPr>
        <w:pStyle w:val="12"/>
        <w:rPr>
          <w:rFonts w:hint="eastAsia"/>
        </w:rPr>
      </w:pPr>
      <w:r>
        <w:rPr>
          <w:rFonts w:hint="eastAsia"/>
          <w:lang w:eastAsia="zh-CN"/>
        </w:rPr>
        <w:t>（</w:t>
      </w:r>
      <w:r>
        <w:t>二</w:t>
      </w:r>
      <w:r>
        <w:rPr>
          <w:rFonts w:hint="eastAsia"/>
          <w:lang w:eastAsia="zh-CN"/>
        </w:rPr>
        <w:t>）</w:t>
      </w:r>
      <w:r>
        <w:t>请求认可和执行的仲裁裁决书或者仲裁调解书的案号或识别资料和生效日期；</w:t>
      </w:r>
    </w:p>
    <w:p>
      <w:pPr>
        <w:pStyle w:val="12"/>
        <w:rPr>
          <w:rStyle w:val="25"/>
          <w:rFonts w:hint="eastAsia"/>
        </w:rPr>
      </w:pPr>
      <w:r>
        <w:rPr>
          <w:rFonts w:hint="eastAsia"/>
          <w:lang w:eastAsia="zh-CN"/>
        </w:rPr>
        <w:t>（</w:t>
      </w:r>
      <w:r>
        <w:t>三</w:t>
      </w:r>
      <w:r>
        <w:rPr>
          <w:rFonts w:hint="eastAsia"/>
          <w:lang w:eastAsia="zh-CN"/>
        </w:rPr>
        <w:t>）</w:t>
      </w:r>
      <w:r>
        <w:t>申请认可和执行仲裁裁决的理由及具体请求</w:t>
      </w:r>
      <w:r>
        <w:rPr>
          <w:rFonts w:hint="eastAsia"/>
        </w:rPr>
        <w:t>，</w:t>
      </w:r>
      <w:r>
        <w:t>以及被申请人财产所在地、财产状况及该仲裁裁决的执行情况。</w:t>
      </w:r>
    </w:p>
    <w:p>
      <w:pPr>
        <w:pStyle w:val="12"/>
        <w:rPr>
          <w:rStyle w:val="25"/>
          <w:rFonts w:hint="eastAsia"/>
        </w:rPr>
      </w:pPr>
      <w:r>
        <w:rPr>
          <w:rStyle w:val="25"/>
        </w:rPr>
        <w:t>第六条</w:t>
      </w:r>
      <w:r>
        <w:t>　申请人向有关法院申请认可和执行内地或者澳门特别行政区仲裁裁决的期限</w:t>
      </w:r>
      <w:r>
        <w:rPr>
          <w:rFonts w:hint="eastAsia"/>
        </w:rPr>
        <w:t>，</w:t>
      </w:r>
      <w:r>
        <w:t>依据认可和执行地的法律确定。</w:t>
      </w:r>
    </w:p>
    <w:p>
      <w:pPr>
        <w:pStyle w:val="12"/>
        <w:rPr>
          <w:rFonts w:hint="eastAsia"/>
        </w:rPr>
      </w:pPr>
      <w:r>
        <w:rPr>
          <w:rStyle w:val="25"/>
        </w:rPr>
        <w:t>第七条</w:t>
      </w:r>
      <w:r>
        <w:t>　对申请认可和执行的仲裁裁决</w:t>
      </w:r>
      <w:r>
        <w:rPr>
          <w:rFonts w:hint="eastAsia"/>
        </w:rPr>
        <w:t>，</w:t>
      </w:r>
      <w:r>
        <w:t>被申请人提出证据证明有下列情形之一的</w:t>
      </w:r>
      <w:r>
        <w:rPr>
          <w:rFonts w:hint="eastAsia"/>
        </w:rPr>
        <w:t>，</w:t>
      </w:r>
      <w:r>
        <w:t>经审查核实</w:t>
      </w:r>
      <w:r>
        <w:rPr>
          <w:rFonts w:hint="eastAsia"/>
        </w:rPr>
        <w:t>，</w:t>
      </w:r>
      <w:r>
        <w:t>有关法院可以裁定不予认可：</w:t>
      </w:r>
    </w:p>
    <w:p>
      <w:pPr>
        <w:pStyle w:val="12"/>
        <w:rPr>
          <w:rFonts w:hint="eastAsia"/>
        </w:rPr>
      </w:pPr>
      <w:r>
        <w:rPr>
          <w:rFonts w:hint="eastAsia"/>
          <w:lang w:eastAsia="zh-CN"/>
        </w:rPr>
        <w:t>（</w:t>
      </w:r>
      <w:r>
        <w:t>一</w:t>
      </w:r>
      <w:r>
        <w:rPr>
          <w:rFonts w:hint="eastAsia"/>
          <w:lang w:eastAsia="zh-CN"/>
        </w:rPr>
        <w:t>）</w:t>
      </w:r>
      <w:r>
        <w:t>仲裁协议一方当事人依对其适用的法律在订立仲裁协议时属于无行为能力的；或者依当事人约定的准据法</w:t>
      </w:r>
      <w:r>
        <w:rPr>
          <w:rFonts w:hint="eastAsia"/>
        </w:rPr>
        <w:t>，</w:t>
      </w:r>
      <w:r>
        <w:t>或当事人没有约定适用的准据法而依仲裁地法律</w:t>
      </w:r>
      <w:r>
        <w:rPr>
          <w:rFonts w:hint="eastAsia"/>
        </w:rPr>
        <w:t>，</w:t>
      </w:r>
      <w:r>
        <w:t>该仲裁协议无效的；</w:t>
      </w:r>
    </w:p>
    <w:p>
      <w:pPr>
        <w:pStyle w:val="12"/>
        <w:rPr>
          <w:rFonts w:hint="eastAsia"/>
        </w:rPr>
      </w:pPr>
      <w:r>
        <w:rPr>
          <w:rFonts w:hint="eastAsia"/>
          <w:lang w:eastAsia="zh-CN"/>
        </w:rPr>
        <w:t>（</w:t>
      </w:r>
      <w:r>
        <w:t>二</w:t>
      </w:r>
      <w:r>
        <w:rPr>
          <w:rFonts w:hint="eastAsia"/>
          <w:lang w:eastAsia="zh-CN"/>
        </w:rPr>
        <w:t>）</w:t>
      </w:r>
      <w:r>
        <w:t>被申请人未接到选任仲裁员或者进行仲裁程序的适当通知</w:t>
      </w:r>
      <w:r>
        <w:rPr>
          <w:rFonts w:hint="eastAsia"/>
        </w:rPr>
        <w:t>，</w:t>
      </w:r>
      <w:r>
        <w:t>或者因他故未能陈述意见的；</w:t>
      </w:r>
    </w:p>
    <w:p>
      <w:pPr>
        <w:pStyle w:val="12"/>
        <w:rPr>
          <w:rFonts w:hint="eastAsia"/>
        </w:rPr>
      </w:pPr>
      <w:r>
        <w:rPr>
          <w:rFonts w:hint="eastAsia"/>
          <w:lang w:eastAsia="zh-CN"/>
        </w:rPr>
        <w:t>（</w:t>
      </w:r>
      <w:r>
        <w:t>三</w:t>
      </w:r>
      <w:r>
        <w:rPr>
          <w:rFonts w:hint="eastAsia"/>
          <w:lang w:eastAsia="zh-CN"/>
        </w:rPr>
        <w:t>）</w:t>
      </w:r>
      <w:r>
        <w:t>裁决所处理的</w:t>
      </w:r>
      <w:r>
        <w:rPr>
          <w:rFonts w:hint="eastAsia"/>
        </w:rPr>
        <w:t>争议不是提交仲裁的争议，或者不在仲裁协议范围之内；或者裁决载有超出当事人提交仲裁范围的事项的决定，但裁决中超出提交仲裁范围的事项的决定与提交仲裁事项的决定可以分开的，裁决中关于提交仲裁事项的决定部分可以予以认可；</w:t>
      </w:r>
    </w:p>
    <w:p>
      <w:pPr>
        <w:pStyle w:val="12"/>
        <w:rPr>
          <w:rFonts w:hint="eastAsia"/>
        </w:rPr>
      </w:pPr>
      <w:r>
        <w:rPr>
          <w:rFonts w:hint="eastAsia"/>
          <w:lang w:eastAsia="zh-CN"/>
        </w:rPr>
        <w:t>（</w:t>
      </w:r>
      <w:r>
        <w:rPr>
          <w:rFonts w:hint="eastAsia"/>
        </w:rPr>
        <w:t>四</w:t>
      </w:r>
      <w:r>
        <w:rPr>
          <w:rFonts w:hint="eastAsia"/>
          <w:lang w:eastAsia="zh-CN"/>
        </w:rPr>
        <w:t>）</w:t>
      </w:r>
      <w:r>
        <w:rPr>
          <w:rFonts w:hint="eastAsia"/>
        </w:rPr>
        <w:t>仲裁庭的组成或者仲裁程序违反了当事人的约定，或者在当事人没有约定时与仲裁地的法律不符的；</w:t>
      </w:r>
    </w:p>
    <w:p>
      <w:pPr>
        <w:pStyle w:val="12"/>
        <w:rPr>
          <w:rFonts w:hint="eastAsia"/>
        </w:rPr>
      </w:pPr>
      <w:r>
        <w:rPr>
          <w:rFonts w:hint="eastAsia"/>
          <w:lang w:eastAsia="zh-CN"/>
        </w:rPr>
        <w:t>（</w:t>
      </w:r>
      <w:r>
        <w:rPr>
          <w:rFonts w:hint="eastAsia"/>
        </w:rPr>
        <w:t>五</w:t>
      </w:r>
      <w:r>
        <w:rPr>
          <w:rFonts w:hint="eastAsia"/>
          <w:lang w:eastAsia="zh-CN"/>
        </w:rPr>
        <w:t>）</w:t>
      </w:r>
      <w:r>
        <w:rPr>
          <w:rFonts w:hint="eastAsia"/>
        </w:rPr>
        <w:t>裁决对当事人尚无约束力，或者业经仲裁地的法院撤销或者拒绝执行的。</w:t>
      </w:r>
    </w:p>
    <w:p>
      <w:pPr>
        <w:pStyle w:val="12"/>
        <w:rPr>
          <w:rFonts w:hint="eastAsia"/>
        </w:rPr>
      </w:pPr>
      <w:r>
        <w:rPr>
          <w:rFonts w:hint="eastAsia"/>
        </w:rPr>
        <w:t>有关法院认定，依执行地法律，争议事项不能以仲裁解决的，不予认可和执行该裁决。</w:t>
      </w:r>
    </w:p>
    <w:p>
      <w:pPr>
        <w:pStyle w:val="12"/>
        <w:rPr>
          <w:rStyle w:val="25"/>
          <w:rFonts w:hint="eastAsia"/>
        </w:rPr>
      </w:pPr>
      <w:r>
        <w:rPr>
          <w:rFonts w:hint="eastAsia"/>
        </w:rPr>
        <w:t>内地法院认定在内地认可和执行该仲裁裁决违反内地法律的基本原则或者社会公共利益，澳门特别行政区法院认定在澳门特别行政区认可和执行该仲裁裁决违反澳门特别行政区法律的基本原则或者公共秩序，不予认可和执行该裁决。</w:t>
      </w:r>
    </w:p>
    <w:p>
      <w:pPr>
        <w:pStyle w:val="12"/>
        <w:rPr>
          <w:rStyle w:val="25"/>
          <w:rFonts w:hint="eastAsia"/>
        </w:rPr>
      </w:pPr>
      <w:r>
        <w:rPr>
          <w:rStyle w:val="25"/>
        </w:rPr>
        <w:t>第八条</w:t>
      </w:r>
      <w:r>
        <w:t>　申请人依据本安排申请认可和执行仲裁裁决的</w:t>
      </w:r>
      <w:r>
        <w:rPr>
          <w:rFonts w:hint="eastAsia"/>
        </w:rPr>
        <w:t>，</w:t>
      </w:r>
      <w:r>
        <w:t>应当根据执行地法律的规定</w:t>
      </w:r>
      <w:r>
        <w:rPr>
          <w:rFonts w:hint="eastAsia"/>
        </w:rPr>
        <w:t>，</w:t>
      </w:r>
      <w:r>
        <w:t>交纳诉讼费用。</w:t>
      </w:r>
    </w:p>
    <w:p>
      <w:pPr>
        <w:pStyle w:val="12"/>
        <w:rPr>
          <w:rFonts w:hint="eastAsia"/>
        </w:rPr>
      </w:pPr>
      <w:r>
        <w:rPr>
          <w:rStyle w:val="25"/>
        </w:rPr>
        <w:t>第九条</w:t>
      </w:r>
      <w:r>
        <w:t>　一方当事人向一地法院申请执行仲裁裁决</w:t>
      </w:r>
      <w:r>
        <w:rPr>
          <w:rFonts w:hint="eastAsia"/>
        </w:rPr>
        <w:t>，</w:t>
      </w:r>
      <w:r>
        <w:t>另一方当事人向另一地法院申请撤销该仲裁裁决</w:t>
      </w:r>
      <w:r>
        <w:rPr>
          <w:rFonts w:hint="eastAsia"/>
        </w:rPr>
        <w:t>，</w:t>
      </w:r>
      <w:r>
        <w:t>被执行人申请中止执行且提供充分担保的</w:t>
      </w:r>
      <w:r>
        <w:rPr>
          <w:rFonts w:hint="eastAsia"/>
        </w:rPr>
        <w:t>，</w:t>
      </w:r>
      <w:r>
        <w:t>执行法院应当中止执行。</w:t>
      </w:r>
    </w:p>
    <w:p>
      <w:pPr>
        <w:pStyle w:val="12"/>
        <w:rPr>
          <w:rFonts w:hint="eastAsia"/>
        </w:rPr>
      </w:pPr>
      <w:r>
        <w:t>根据经认可的撤销仲裁裁决的判决、裁定</w:t>
      </w:r>
      <w:r>
        <w:rPr>
          <w:rFonts w:hint="eastAsia"/>
        </w:rPr>
        <w:t>，</w:t>
      </w:r>
      <w:r>
        <w:t>执行法院应当终结执行</w:t>
      </w:r>
      <w:r>
        <w:rPr>
          <w:rFonts w:hint="eastAsia"/>
        </w:rPr>
        <w:t>程序；撤销仲裁裁决申请被驳回的，执行法院应当恢复执行。</w:t>
      </w:r>
    </w:p>
    <w:p>
      <w:pPr>
        <w:pStyle w:val="12"/>
        <w:rPr>
          <w:rStyle w:val="25"/>
          <w:rFonts w:hint="eastAsia"/>
        </w:rPr>
      </w:pPr>
      <w:r>
        <w:rPr>
          <w:rFonts w:hint="eastAsia"/>
        </w:rPr>
        <w:t>当事人申请中止执行的，应当向执行法院提供其他法院已经受理申请撤销仲裁裁决案件的法律文书。</w:t>
      </w:r>
    </w:p>
    <w:p>
      <w:pPr>
        <w:pStyle w:val="12"/>
        <w:rPr>
          <w:rStyle w:val="25"/>
          <w:rFonts w:hint="eastAsia"/>
        </w:rPr>
      </w:pPr>
      <w:r>
        <w:rPr>
          <w:rStyle w:val="25"/>
        </w:rPr>
        <w:t>第十条</w:t>
      </w:r>
      <w:r>
        <w:t>　受理申请的法院应当尽快审查认可和执行的请求</w:t>
      </w:r>
      <w:r>
        <w:rPr>
          <w:rFonts w:hint="eastAsia"/>
        </w:rPr>
        <w:t>，</w:t>
      </w:r>
      <w:r>
        <w:t>并作出裁定。</w:t>
      </w:r>
    </w:p>
    <w:p>
      <w:pPr>
        <w:pStyle w:val="12"/>
        <w:rPr>
          <w:rStyle w:val="25"/>
          <w:rFonts w:hint="eastAsia"/>
        </w:rPr>
      </w:pPr>
      <w:r>
        <w:rPr>
          <w:rStyle w:val="25"/>
        </w:rPr>
        <w:t>第十一条</w:t>
      </w:r>
      <w:r>
        <w:t>　法院在受理认可和执行仲裁裁决申请之前或者之后</w:t>
      </w:r>
      <w:r>
        <w:rPr>
          <w:rFonts w:hint="eastAsia"/>
        </w:rPr>
        <w:t>，</w:t>
      </w:r>
      <w:r>
        <w:t>可以依当事人的申请</w:t>
      </w:r>
      <w:r>
        <w:rPr>
          <w:rFonts w:hint="eastAsia"/>
        </w:rPr>
        <w:t>，</w:t>
      </w:r>
      <w:r>
        <w:t>按照法院地法律规定</w:t>
      </w:r>
      <w:r>
        <w:rPr>
          <w:rFonts w:hint="eastAsia"/>
        </w:rPr>
        <w:t>，</w:t>
      </w:r>
      <w:r>
        <w:t>对被申请人的财产采取保全措施。</w:t>
      </w:r>
    </w:p>
    <w:p>
      <w:pPr>
        <w:pStyle w:val="12"/>
        <w:rPr>
          <w:rStyle w:val="25"/>
          <w:rFonts w:hint="eastAsia"/>
        </w:rPr>
      </w:pPr>
      <w:r>
        <w:rPr>
          <w:rStyle w:val="25"/>
        </w:rPr>
        <w:t>第十二条</w:t>
      </w:r>
      <w:r>
        <w:t>　由一方有权限公共机构</w:t>
      </w:r>
      <w:r>
        <w:rPr>
          <w:rFonts w:hint="eastAsia"/>
          <w:lang w:eastAsia="zh-CN"/>
        </w:rPr>
        <w:t>（</w:t>
      </w:r>
      <w:r>
        <w:t>包括公证员</w:t>
      </w:r>
      <w:r>
        <w:rPr>
          <w:rFonts w:hint="eastAsia"/>
          <w:lang w:eastAsia="zh-CN"/>
        </w:rPr>
        <w:t>）</w:t>
      </w:r>
      <w:r>
        <w:t>作成的文书正本或者经公证的文书副本及译本</w:t>
      </w:r>
      <w:r>
        <w:rPr>
          <w:rFonts w:hint="eastAsia"/>
        </w:rPr>
        <w:t>，</w:t>
      </w:r>
      <w:r>
        <w:t>在适用</w:t>
      </w:r>
      <w:r>
        <w:rPr>
          <w:rFonts w:hint="eastAsia"/>
        </w:rPr>
        <w:t>本安排时，可以免除认证手续在对方使用。</w:t>
      </w:r>
    </w:p>
    <w:p>
      <w:pPr>
        <w:pStyle w:val="12"/>
        <w:rPr>
          <w:rFonts w:hint="eastAsia"/>
        </w:rPr>
      </w:pPr>
      <w:r>
        <w:rPr>
          <w:rStyle w:val="25"/>
        </w:rPr>
        <w:t>第十三条</w:t>
      </w:r>
      <w:r>
        <w:t>　本安排实施前</w:t>
      </w:r>
      <w:r>
        <w:rPr>
          <w:rFonts w:hint="eastAsia"/>
        </w:rPr>
        <w:t>，</w:t>
      </w:r>
      <w:r>
        <w:t>当事人提出的认可和执行仲裁裁决的请求</w:t>
      </w:r>
      <w:r>
        <w:rPr>
          <w:rFonts w:hint="eastAsia"/>
        </w:rPr>
        <w:t>，</w:t>
      </w:r>
      <w:r>
        <w:t>不适用本安排。</w:t>
      </w:r>
    </w:p>
    <w:p>
      <w:pPr>
        <w:pStyle w:val="12"/>
        <w:rPr>
          <w:rStyle w:val="25"/>
          <w:rFonts w:hint="eastAsia"/>
        </w:rPr>
      </w:pPr>
      <w:r>
        <w:t>自1999年12月20日至本安排实施前</w:t>
      </w:r>
      <w:r>
        <w:rPr>
          <w:rFonts w:hint="eastAsia"/>
        </w:rPr>
        <w:t>，</w:t>
      </w:r>
      <w:r>
        <w:t>澳门特别行政区仲裁机构及仲裁员作出的仲裁裁决</w:t>
      </w:r>
      <w:r>
        <w:rPr>
          <w:rFonts w:hint="eastAsia"/>
        </w:rPr>
        <w:t>，</w:t>
      </w:r>
      <w:r>
        <w:t>当事人向内地申请认可和执行的期限</w:t>
      </w:r>
      <w:r>
        <w:rPr>
          <w:rFonts w:hint="eastAsia"/>
        </w:rPr>
        <w:t>，</w:t>
      </w:r>
      <w:r>
        <w:t>自本安排实施之日起算。</w:t>
      </w:r>
    </w:p>
    <w:p>
      <w:pPr>
        <w:pStyle w:val="12"/>
        <w:rPr>
          <w:rFonts w:hint="eastAsia"/>
        </w:rPr>
      </w:pPr>
      <w:r>
        <w:rPr>
          <w:rStyle w:val="25"/>
        </w:rPr>
        <w:t>第十四条</w:t>
      </w:r>
      <w:r>
        <w:t>　为执行本安排</w:t>
      </w:r>
      <w:r>
        <w:rPr>
          <w:rFonts w:hint="eastAsia"/>
        </w:rPr>
        <w:t>，</w:t>
      </w:r>
      <w:r>
        <w:t>最高人民法院和澳门特别行政区终审法院应当相互提供相关法律资料。</w:t>
      </w:r>
    </w:p>
    <w:p>
      <w:pPr>
        <w:pStyle w:val="12"/>
        <w:rPr>
          <w:rStyle w:val="25"/>
          <w:rFonts w:hint="eastAsia"/>
        </w:rPr>
      </w:pPr>
      <w:r>
        <w:t>最高人民法院和澳门特别行政区终审法院每年相互通报执行本安排的情况。</w:t>
      </w:r>
    </w:p>
    <w:p>
      <w:pPr>
        <w:pStyle w:val="12"/>
        <w:rPr>
          <w:rStyle w:val="25"/>
          <w:rFonts w:hint="eastAsia"/>
        </w:rPr>
      </w:pPr>
      <w:r>
        <w:rPr>
          <w:rStyle w:val="25"/>
        </w:rPr>
        <w:t>第十五条</w:t>
      </w:r>
      <w:r>
        <w:t>　本安</w:t>
      </w:r>
      <w:r>
        <w:rPr>
          <w:rFonts w:hint="eastAsia"/>
        </w:rPr>
        <w:t>排在执行过程中遇有问题或者需要修改的，由最高人民法院和澳门特别行政区协商解决。</w:t>
      </w:r>
    </w:p>
    <w:p>
      <w:pPr>
        <w:pStyle w:val="12"/>
        <w:rPr>
          <w:rFonts w:hint="eastAsia"/>
        </w:rPr>
      </w:pPr>
      <w:r>
        <w:rPr>
          <w:rStyle w:val="25"/>
        </w:rPr>
        <w:t>第十六条</w:t>
      </w:r>
      <w:r>
        <w:t>　本安排自2008年1月1日起实施。</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6E3"/>
    <w:rsid w:val="00323D76"/>
    <w:rsid w:val="00EC06E3"/>
    <w:rsid w:val="02380A4E"/>
    <w:rsid w:val="02C54CFB"/>
    <w:rsid w:val="042F174E"/>
    <w:rsid w:val="0751543E"/>
    <w:rsid w:val="0AA62EBB"/>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016F4A"/>
    <w:rsid w:val="4E7D2A86"/>
    <w:rsid w:val="501B3EB2"/>
    <w:rsid w:val="5027117E"/>
    <w:rsid w:val="56C00D65"/>
    <w:rsid w:val="65586BE5"/>
    <w:rsid w:val="6D481E83"/>
    <w:rsid w:val="6D800228"/>
    <w:rsid w:val="6DAD6BF0"/>
    <w:rsid w:val="6E1B4105"/>
    <w:rsid w:val="6EB66F23"/>
    <w:rsid w:val="75FA67F7"/>
    <w:rsid w:val="76C039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Administrator</dc:creator>
  <cp:lastModifiedBy>Administrator</cp:lastModifiedBy>
  <dcterms:modified xsi:type="dcterms:W3CDTF">2017-11-09T13:31:36Z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